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495DD" w14:textId="77777777" w:rsidR="00D34ECB" w:rsidRPr="00D34ECB" w:rsidRDefault="00D34ECB" w:rsidP="00D34ECB">
      <w:pPr>
        <w:bidi w:val="0"/>
        <w:jc w:val="both"/>
        <w:rPr>
          <w:rFonts w:ascii="Calibri" w:hAnsi="Calibri" w:cs="Calibri"/>
          <w:b/>
          <w:bCs/>
          <w:sz w:val="24"/>
          <w:szCs w:val="24"/>
        </w:rPr>
      </w:pPr>
      <w:r w:rsidRPr="00D34ECB">
        <w:rPr>
          <w:rFonts w:ascii="Calibri" w:hAnsi="Calibri" w:cs="Calibri"/>
          <w:b/>
          <w:bCs/>
          <w:sz w:val="24"/>
          <w:szCs w:val="24"/>
        </w:rPr>
        <w:t>Power vs. Partnership</w:t>
      </w:r>
    </w:p>
    <w:p w14:paraId="0184F7C6" w14:textId="48F64E3F" w:rsidR="00D34ECB" w:rsidRPr="00D34ECB" w:rsidRDefault="00D34ECB" w:rsidP="00D34ECB">
      <w:pPr>
        <w:bidi w:val="0"/>
        <w:jc w:val="both"/>
        <w:rPr>
          <w:rFonts w:ascii="Calibri" w:hAnsi="Calibri" w:cs="Calibri"/>
          <w:sz w:val="24"/>
          <w:szCs w:val="24"/>
        </w:rPr>
      </w:pPr>
      <w:r w:rsidRPr="00D34ECB">
        <w:rPr>
          <w:rFonts w:ascii="Calibri" w:hAnsi="Calibri" w:cs="Calibri"/>
          <w:sz w:val="24"/>
          <w:szCs w:val="24"/>
        </w:rPr>
        <w:t xml:space="preserve">By Akram </w:t>
      </w:r>
      <w:proofErr w:type="spellStart"/>
      <w:r w:rsidRPr="00D34ECB">
        <w:rPr>
          <w:rFonts w:ascii="Calibri" w:hAnsi="Calibri" w:cs="Calibri"/>
          <w:sz w:val="24"/>
          <w:szCs w:val="24"/>
        </w:rPr>
        <w:t>Miknas</w:t>
      </w:r>
      <w:proofErr w:type="spellEnd"/>
    </w:p>
    <w:p w14:paraId="6D834647" w14:textId="77777777" w:rsidR="001A3AE3" w:rsidRDefault="00D34ECB" w:rsidP="00D34ECB">
      <w:pPr>
        <w:bidi w:val="0"/>
        <w:jc w:val="both"/>
        <w:rPr>
          <w:rFonts w:ascii="Calibri" w:hAnsi="Calibri" w:cs="Calibri"/>
          <w:sz w:val="24"/>
          <w:szCs w:val="24"/>
        </w:rPr>
      </w:pPr>
      <w:r w:rsidRPr="00D34ECB">
        <w:rPr>
          <w:rFonts w:ascii="Calibri" w:hAnsi="Calibri" w:cs="Calibri"/>
          <w:sz w:val="24"/>
          <w:szCs w:val="24"/>
        </w:rPr>
        <w:t xml:space="preserve">It is difficult for any observer of Middle Eastern geopolitics to overlook a striking paradox currently unfolding across the Arabian Gulf. On one hand, </w:t>
      </w:r>
      <w:r w:rsidR="001A3AE3">
        <w:rPr>
          <w:rFonts w:ascii="Calibri" w:hAnsi="Calibri" w:cs="Calibri"/>
          <w:sz w:val="24"/>
          <w:szCs w:val="24"/>
        </w:rPr>
        <w:t>GCC</w:t>
      </w:r>
      <w:r w:rsidRPr="00D34ECB">
        <w:rPr>
          <w:rFonts w:ascii="Calibri" w:hAnsi="Calibri" w:cs="Calibri"/>
          <w:sz w:val="24"/>
          <w:szCs w:val="24"/>
        </w:rPr>
        <w:t xml:space="preserve"> states are actively engaged in unprecedented economic transformation. They are aggressively diversifying revenues away from finite hydrocarbon dependence, modernizing infrastructure, expanding healthcare and higher education, and opening their borders to global investment, tourism, and cutting-edge technology. </w:t>
      </w:r>
    </w:p>
    <w:p w14:paraId="689DF67A" w14:textId="1EC7AEA2" w:rsidR="00D34ECB" w:rsidRPr="00D34ECB" w:rsidRDefault="00D34ECB" w:rsidP="001A3AE3">
      <w:pPr>
        <w:bidi w:val="0"/>
        <w:jc w:val="both"/>
        <w:rPr>
          <w:rFonts w:ascii="Calibri" w:hAnsi="Calibri" w:cs="Calibri"/>
          <w:sz w:val="24"/>
          <w:szCs w:val="24"/>
        </w:rPr>
      </w:pPr>
      <w:r w:rsidRPr="00D34ECB">
        <w:rPr>
          <w:rFonts w:ascii="Calibri" w:hAnsi="Calibri" w:cs="Calibri"/>
          <w:sz w:val="24"/>
          <w:szCs w:val="24"/>
        </w:rPr>
        <w:t>On the other hand, Iran continues to approach its immediate neighborhood through a rigid, security-dominated framework built on military deterrence, proxy networks, and cross-border coercion. Recently, this fundamental tension has returned to the fore as escalating geopolitical friction culminated in direct strikes targeting vital infrastructure, economic assets, and energy corridors</w:t>
      </w:r>
      <w:r w:rsidRPr="00D34ECB">
        <w:rPr>
          <w:rFonts w:ascii="Calibri" w:hAnsi="Calibri" w:cs="Calibri"/>
          <w:sz w:val="24"/>
          <w:szCs w:val="24"/>
          <w:rtl/>
        </w:rPr>
        <w:t>.</w:t>
      </w:r>
    </w:p>
    <w:p w14:paraId="65C40082" w14:textId="77777777" w:rsidR="00D34ECB" w:rsidRPr="00D34ECB" w:rsidRDefault="00D34ECB" w:rsidP="00D34ECB">
      <w:pPr>
        <w:bidi w:val="0"/>
        <w:jc w:val="both"/>
        <w:rPr>
          <w:rFonts w:ascii="Calibri" w:hAnsi="Calibri" w:cs="Calibri"/>
          <w:sz w:val="24"/>
          <w:szCs w:val="24"/>
        </w:rPr>
      </w:pPr>
      <w:r w:rsidRPr="00D34ECB">
        <w:rPr>
          <w:rFonts w:ascii="Calibri" w:hAnsi="Calibri" w:cs="Calibri"/>
          <w:sz w:val="24"/>
          <w:szCs w:val="24"/>
        </w:rPr>
        <w:t>This stark divergence raises a straightforward question: Why does Tehran persist in viewing the Gulf through the lens of a zero-sum arena that must be intimidated or neutralized, rather than as an opportunity for constructive economic partnership and shared regional stability</w:t>
      </w:r>
      <w:r w:rsidRPr="00D34ECB">
        <w:rPr>
          <w:rFonts w:ascii="Calibri" w:hAnsi="Calibri" w:cs="Calibri"/>
          <w:sz w:val="24"/>
          <w:szCs w:val="24"/>
          <w:rtl/>
        </w:rPr>
        <w:t>?</w:t>
      </w:r>
    </w:p>
    <w:p w14:paraId="5DCEB928" w14:textId="77777777" w:rsidR="00D34ECB" w:rsidRPr="00D34ECB" w:rsidRDefault="00D34ECB" w:rsidP="00D34ECB">
      <w:pPr>
        <w:bidi w:val="0"/>
        <w:jc w:val="both"/>
        <w:rPr>
          <w:rFonts w:ascii="Calibri" w:hAnsi="Calibri" w:cs="Calibri"/>
          <w:sz w:val="24"/>
          <w:szCs w:val="24"/>
        </w:rPr>
      </w:pPr>
      <w:r w:rsidRPr="00D34ECB">
        <w:rPr>
          <w:rFonts w:ascii="Calibri" w:hAnsi="Calibri" w:cs="Calibri"/>
          <w:sz w:val="24"/>
          <w:szCs w:val="24"/>
        </w:rPr>
        <w:t>To address this, let us examine a candid hypothesis: Iranian foreign policy operates on the assumption that its neighbors must not possess independent, self-sustaining power, with the control of regional leverage forming a core part of its strategic calculus. Iran moves according to a complex blend of security, political, ideological, and economic motives. Understanding this framework helps explain why Tehran remains intent on projecting a ring of asymmetrical influence around the Gulf states instead of building a cooperative regional security architecture</w:t>
      </w:r>
      <w:r w:rsidRPr="00D34ECB">
        <w:rPr>
          <w:rFonts w:ascii="Calibri" w:hAnsi="Calibri" w:cs="Calibri"/>
          <w:sz w:val="24"/>
          <w:szCs w:val="24"/>
          <w:rtl/>
        </w:rPr>
        <w:t>.</w:t>
      </w:r>
    </w:p>
    <w:p w14:paraId="0B68F5DC" w14:textId="77777777" w:rsidR="00D34ECB" w:rsidRPr="00D34ECB" w:rsidRDefault="00D34ECB" w:rsidP="00D34ECB">
      <w:pPr>
        <w:bidi w:val="0"/>
        <w:jc w:val="both"/>
        <w:rPr>
          <w:rFonts w:ascii="Calibri" w:hAnsi="Calibri" w:cs="Calibri"/>
          <w:sz w:val="24"/>
          <w:szCs w:val="24"/>
        </w:rPr>
      </w:pPr>
      <w:r w:rsidRPr="00D34ECB">
        <w:rPr>
          <w:rFonts w:ascii="Calibri" w:hAnsi="Calibri" w:cs="Calibri"/>
          <w:sz w:val="24"/>
          <w:szCs w:val="24"/>
        </w:rPr>
        <w:t>Today’s Gulf landscape is fundamentally different from past decades. These nations are no longer passive oil-exporting economies merely awaiting global crude price increases. Massive capital investments are currently driving rapid growth across manufacturing, technology, logistics, renewable energy, and advanced services. International institutions, including the World Bank, have documented the resilient expansion of non-oil sectors, emphasizing that structural economic reforms are now permanent pillars of the region’s development</w:t>
      </w:r>
      <w:r w:rsidRPr="00D34ECB">
        <w:rPr>
          <w:rFonts w:ascii="Calibri" w:hAnsi="Calibri" w:cs="Calibri"/>
          <w:sz w:val="24"/>
          <w:szCs w:val="24"/>
          <w:rtl/>
        </w:rPr>
        <w:t>.</w:t>
      </w:r>
    </w:p>
    <w:p w14:paraId="7D08B19F" w14:textId="77777777" w:rsidR="00D34ECB" w:rsidRPr="00D34ECB" w:rsidRDefault="00D34ECB" w:rsidP="00D34ECB">
      <w:pPr>
        <w:bidi w:val="0"/>
        <w:jc w:val="both"/>
        <w:rPr>
          <w:rFonts w:ascii="Calibri" w:hAnsi="Calibri" w:cs="Calibri"/>
          <w:sz w:val="24"/>
          <w:szCs w:val="24"/>
        </w:rPr>
      </w:pPr>
      <w:r w:rsidRPr="00D34ECB">
        <w:rPr>
          <w:rFonts w:ascii="Calibri" w:hAnsi="Calibri" w:cs="Calibri"/>
          <w:sz w:val="24"/>
          <w:szCs w:val="24"/>
        </w:rPr>
        <w:t>Crucially, this transformation extends beyond physical assets to a profound investment in human capital. Through educational reforms, vocational training, and modernized labor markets, Gulf nations are systematically raising their citizens' quality of life. This brings us back to an unavoidable question: What tangible benefit does Iran derive from attempting to weaken or destabilize these neighboring societies</w:t>
      </w:r>
      <w:r w:rsidRPr="00D34ECB">
        <w:rPr>
          <w:rFonts w:ascii="Calibri" w:hAnsi="Calibri" w:cs="Calibri"/>
          <w:sz w:val="24"/>
          <w:szCs w:val="24"/>
          <w:rtl/>
        </w:rPr>
        <w:t>?</w:t>
      </w:r>
    </w:p>
    <w:p w14:paraId="164D1F7F" w14:textId="77777777" w:rsidR="00D34ECB" w:rsidRPr="00D34ECB" w:rsidRDefault="00D34ECB" w:rsidP="00D34ECB">
      <w:pPr>
        <w:bidi w:val="0"/>
        <w:jc w:val="both"/>
        <w:rPr>
          <w:rFonts w:ascii="Calibri" w:hAnsi="Calibri" w:cs="Calibri"/>
          <w:sz w:val="24"/>
          <w:szCs w:val="24"/>
        </w:rPr>
      </w:pPr>
      <w:r w:rsidRPr="00D34ECB">
        <w:rPr>
          <w:rFonts w:ascii="Calibri" w:hAnsi="Calibri" w:cs="Calibri"/>
          <w:sz w:val="24"/>
          <w:szCs w:val="24"/>
        </w:rPr>
        <w:t>When a Gulf state achieves socio-economic stability, its success does not inherently pose a threat to its neighbors; on the contrary, it acts as a catalyst for shared regional opportunity. A robust economy expands consumer markets, generates employment, and creates interconnected transit and energy infrastructure that benefits the broader region. Sustainable economic strength is not a threat in itself; conflict arises only when power is weaponized into an instrument of coercion</w:t>
      </w:r>
      <w:r w:rsidRPr="00D34ECB">
        <w:rPr>
          <w:rFonts w:ascii="Calibri" w:hAnsi="Calibri" w:cs="Calibri"/>
          <w:sz w:val="24"/>
          <w:szCs w:val="24"/>
          <w:rtl/>
        </w:rPr>
        <w:t>.</w:t>
      </w:r>
    </w:p>
    <w:p w14:paraId="3E5684C9" w14:textId="77777777" w:rsidR="00D34ECB" w:rsidRPr="00D34ECB" w:rsidRDefault="00D34ECB" w:rsidP="00D34ECB">
      <w:pPr>
        <w:bidi w:val="0"/>
        <w:jc w:val="both"/>
        <w:rPr>
          <w:rFonts w:ascii="Calibri" w:hAnsi="Calibri" w:cs="Calibri"/>
          <w:sz w:val="24"/>
          <w:szCs w:val="24"/>
        </w:rPr>
      </w:pPr>
      <w:r w:rsidRPr="00D34ECB">
        <w:rPr>
          <w:rFonts w:ascii="Calibri" w:hAnsi="Calibri" w:cs="Calibri"/>
          <w:sz w:val="24"/>
          <w:szCs w:val="24"/>
        </w:rPr>
        <w:lastRenderedPageBreak/>
        <w:t>From this perspective, Iran’s regional doctrine has long relied on unconventional tools to project power. Rather than establishing trust through conventional state-to-state diplomacy, Tehran has invested heavily in cultivating non-state armed actors and political proxies across several Arab nations, including groups like Hamas despite ideological differences. This strategy demonstrates that Iranian sponsorship of regional armed groups is primarily a pragmatic instrument of geopolitical leverage rather than an expression of ideological solidarity, forcibly tying neighboring security to Iranian military interests</w:t>
      </w:r>
      <w:r w:rsidRPr="00D34ECB">
        <w:rPr>
          <w:rFonts w:ascii="Calibri" w:hAnsi="Calibri" w:cs="Calibri"/>
          <w:sz w:val="24"/>
          <w:szCs w:val="24"/>
          <w:rtl/>
        </w:rPr>
        <w:t>.</w:t>
      </w:r>
    </w:p>
    <w:p w14:paraId="28322323" w14:textId="2466B5F9" w:rsidR="00D34ECB" w:rsidRPr="00D34ECB" w:rsidRDefault="00D34ECB" w:rsidP="00D34ECB">
      <w:pPr>
        <w:bidi w:val="0"/>
        <w:jc w:val="both"/>
        <w:rPr>
          <w:rFonts w:ascii="Calibri" w:hAnsi="Calibri" w:cs="Calibri"/>
          <w:sz w:val="24"/>
          <w:szCs w:val="24"/>
        </w:rPr>
      </w:pPr>
      <w:r w:rsidRPr="00D34ECB">
        <w:rPr>
          <w:rFonts w:ascii="Calibri" w:hAnsi="Calibri" w:cs="Calibri"/>
          <w:sz w:val="24"/>
          <w:szCs w:val="24"/>
        </w:rPr>
        <w:t xml:space="preserve">However, severe consequences follow when this doctrine targets the </w:t>
      </w:r>
      <w:r w:rsidR="001A3AE3">
        <w:rPr>
          <w:rFonts w:ascii="Calibri" w:hAnsi="Calibri" w:cs="Calibri"/>
          <w:sz w:val="24"/>
          <w:szCs w:val="24"/>
        </w:rPr>
        <w:t>GCC</w:t>
      </w:r>
      <w:r w:rsidRPr="00D34ECB">
        <w:rPr>
          <w:rFonts w:ascii="Calibri" w:hAnsi="Calibri" w:cs="Calibri"/>
          <w:sz w:val="24"/>
          <w:szCs w:val="24"/>
        </w:rPr>
        <w:t xml:space="preserve"> directly, threatening modern urban centers, commercial ports, and energy routes. When regional dynamics reach this level of hostility, the critical inquiry changes: Does Iran genuinely desire a stable regional security system, or does it demand that the security of neighboring states remain subordinate to its own political interests</w:t>
      </w:r>
      <w:r w:rsidRPr="00D34ECB">
        <w:rPr>
          <w:rFonts w:ascii="Calibri" w:hAnsi="Calibri" w:cs="Calibri"/>
          <w:sz w:val="24"/>
          <w:szCs w:val="24"/>
          <w:rtl/>
        </w:rPr>
        <w:t>?</w:t>
      </w:r>
    </w:p>
    <w:p w14:paraId="69B7C3E6" w14:textId="77777777" w:rsidR="00D34ECB" w:rsidRPr="00D34ECB" w:rsidRDefault="00D34ECB" w:rsidP="00D34ECB">
      <w:pPr>
        <w:bidi w:val="0"/>
        <w:jc w:val="both"/>
        <w:rPr>
          <w:rFonts w:ascii="Calibri" w:hAnsi="Calibri" w:cs="Calibri"/>
          <w:sz w:val="24"/>
          <w:szCs w:val="24"/>
        </w:rPr>
      </w:pPr>
      <w:r w:rsidRPr="00D34ECB">
        <w:rPr>
          <w:rFonts w:ascii="Calibri" w:hAnsi="Calibri" w:cs="Calibri"/>
          <w:sz w:val="24"/>
          <w:szCs w:val="24"/>
        </w:rPr>
        <w:t>The economic momentum of the Gulf should be welcomed by Tehran as an extraordinary opportunity for trade, joint investment, and diplomatic engagement. The fundamental question facing the region is not whether the Gulf will continue to grow stronger—for its path toward modernization is already firmly established. Rather, it is how Iran will choose to respond to this reality</w:t>
      </w:r>
      <w:r w:rsidRPr="00D34ECB">
        <w:rPr>
          <w:rFonts w:ascii="Calibri" w:hAnsi="Calibri" w:cs="Calibri"/>
          <w:sz w:val="24"/>
          <w:szCs w:val="24"/>
          <w:rtl/>
        </w:rPr>
        <w:t>.</w:t>
      </w:r>
    </w:p>
    <w:p w14:paraId="1222140D" w14:textId="71A7A22A" w:rsidR="00EB5EA2" w:rsidRPr="00D34ECB" w:rsidRDefault="001A3AE3" w:rsidP="001A3AE3">
      <w:pPr>
        <w:bidi w:val="0"/>
        <w:jc w:val="both"/>
        <w:rPr>
          <w:rFonts w:ascii="Calibri" w:hAnsi="Calibri" w:cs="Calibri"/>
          <w:sz w:val="24"/>
          <w:szCs w:val="24"/>
        </w:rPr>
      </w:pPr>
      <w:r w:rsidRPr="001A3AE3">
        <w:rPr>
          <w:rFonts w:ascii="Calibri" w:hAnsi="Calibri" w:cs="Calibri"/>
          <w:sz w:val="24"/>
          <w:szCs w:val="24"/>
        </w:rPr>
        <w:t>A nation that relies on destabilizing its neighbors to feel secure will remain perpetually vulnerable. Herein lies the ultimate choice between coercive power and true partnership: dominance depends on weaponry and intimidation to project influence, whereas genuine partnership transforms strength into a foundation for regional stability and a catalyst for enduring, shared prosperity.</w:t>
      </w:r>
    </w:p>
    <w:sectPr w:rsidR="00EB5EA2" w:rsidRPr="00D34ECB" w:rsidSect="00EB5EA2">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ECB"/>
    <w:rsid w:val="001A3AE3"/>
    <w:rsid w:val="008804B6"/>
    <w:rsid w:val="00947457"/>
    <w:rsid w:val="00D15EA1"/>
    <w:rsid w:val="00D34ECB"/>
    <w:rsid w:val="00EB5EA2"/>
    <w:rsid w:val="00F24D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B21B5"/>
  <w15:chartTrackingRefBased/>
  <w15:docId w15:val="{C218277E-9DEB-4B2E-A424-2592447A4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D34E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4E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4E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E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E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E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E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E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E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E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4E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4E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E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E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E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E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E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ECB"/>
    <w:rPr>
      <w:rFonts w:eastAsiaTheme="majorEastAsia" w:cstheme="majorBidi"/>
      <w:color w:val="272727" w:themeColor="text1" w:themeTint="D8"/>
    </w:rPr>
  </w:style>
  <w:style w:type="paragraph" w:styleId="Title">
    <w:name w:val="Title"/>
    <w:basedOn w:val="Normal"/>
    <w:next w:val="Normal"/>
    <w:link w:val="TitleChar"/>
    <w:uiPriority w:val="10"/>
    <w:qFormat/>
    <w:rsid w:val="00D34E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4E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4E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E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ECB"/>
    <w:pPr>
      <w:spacing w:before="160"/>
      <w:jc w:val="center"/>
    </w:pPr>
    <w:rPr>
      <w:i/>
      <w:iCs/>
      <w:color w:val="404040" w:themeColor="text1" w:themeTint="BF"/>
    </w:rPr>
  </w:style>
  <w:style w:type="character" w:customStyle="1" w:styleId="QuoteChar">
    <w:name w:val="Quote Char"/>
    <w:basedOn w:val="DefaultParagraphFont"/>
    <w:link w:val="Quote"/>
    <w:uiPriority w:val="29"/>
    <w:rsid w:val="00D34ECB"/>
    <w:rPr>
      <w:i/>
      <w:iCs/>
      <w:color w:val="404040" w:themeColor="text1" w:themeTint="BF"/>
    </w:rPr>
  </w:style>
  <w:style w:type="paragraph" w:styleId="ListParagraph">
    <w:name w:val="List Paragraph"/>
    <w:basedOn w:val="Normal"/>
    <w:uiPriority w:val="34"/>
    <w:qFormat/>
    <w:rsid w:val="00D34ECB"/>
    <w:pPr>
      <w:ind w:left="720"/>
      <w:contextualSpacing/>
    </w:pPr>
  </w:style>
  <w:style w:type="character" w:styleId="IntenseEmphasis">
    <w:name w:val="Intense Emphasis"/>
    <w:basedOn w:val="DefaultParagraphFont"/>
    <w:uiPriority w:val="21"/>
    <w:qFormat/>
    <w:rsid w:val="00D34ECB"/>
    <w:rPr>
      <w:i/>
      <w:iCs/>
      <w:color w:val="0F4761" w:themeColor="accent1" w:themeShade="BF"/>
    </w:rPr>
  </w:style>
  <w:style w:type="paragraph" w:styleId="IntenseQuote">
    <w:name w:val="Intense Quote"/>
    <w:basedOn w:val="Normal"/>
    <w:next w:val="Normal"/>
    <w:link w:val="IntenseQuoteChar"/>
    <w:uiPriority w:val="30"/>
    <w:qFormat/>
    <w:rsid w:val="00D34E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ECB"/>
    <w:rPr>
      <w:i/>
      <w:iCs/>
      <w:color w:val="0F4761" w:themeColor="accent1" w:themeShade="BF"/>
    </w:rPr>
  </w:style>
  <w:style w:type="character" w:styleId="IntenseReference">
    <w:name w:val="Intense Reference"/>
    <w:basedOn w:val="DefaultParagraphFont"/>
    <w:uiPriority w:val="32"/>
    <w:qFormat/>
    <w:rsid w:val="00D34EC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740</Words>
  <Characters>4224</Characters>
  <Application>Microsoft Office Word</Application>
  <DocSecurity>0</DocSecurity>
  <Lines>35</Lines>
  <Paragraphs>9</Paragraphs>
  <ScaleCrop>false</ScaleCrop>
  <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2026-09-25T23:18:00Z</dcterms:created>
  <dcterms:modified xsi:type="dcterms:W3CDTF">2026-09-25T23:34:00Z</dcterms:modified>
</cp:coreProperties>
</file>