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1FCC0" w14:textId="1FE9728A" w:rsidR="00A90999" w:rsidRPr="00A90999" w:rsidRDefault="00A90999" w:rsidP="00A90999">
      <w:pPr>
        <w:rPr>
          <w:rFonts w:ascii="Calibri" w:hAnsi="Calibri" w:cs="Calibri"/>
          <w:sz w:val="32"/>
          <w:szCs w:val="32"/>
        </w:rPr>
      </w:pPr>
      <w:r w:rsidRPr="00A90999">
        <w:rPr>
          <w:rFonts w:ascii="Calibri" w:hAnsi="Calibri" w:cs="Calibri"/>
          <w:b/>
          <w:bCs/>
          <w:sz w:val="32"/>
          <w:szCs w:val="32"/>
        </w:rPr>
        <w:t>The Imperative of Adaptive Resilience</w:t>
      </w:r>
      <w:r w:rsidR="00085E08">
        <w:rPr>
          <w:rFonts w:ascii="Calibri" w:hAnsi="Calibri" w:cs="Calibri"/>
          <w:sz w:val="32"/>
          <w:szCs w:val="32"/>
        </w:rPr>
        <w:t>!</w:t>
      </w:r>
      <w:r w:rsidRPr="00A90999">
        <w:rPr>
          <w:rFonts w:ascii="Calibri" w:hAnsi="Calibri" w:cs="Calibri"/>
          <w:sz w:val="32"/>
          <w:szCs w:val="32"/>
        </w:rPr>
        <w:br/>
        <w:t xml:space="preserve">By Akram </w:t>
      </w:r>
      <w:proofErr w:type="spellStart"/>
      <w:r w:rsidRPr="00A90999">
        <w:rPr>
          <w:rFonts w:ascii="Calibri" w:hAnsi="Calibri" w:cs="Calibri"/>
          <w:sz w:val="32"/>
          <w:szCs w:val="32"/>
        </w:rPr>
        <w:t>Miknas</w:t>
      </w:r>
      <w:proofErr w:type="spellEnd"/>
    </w:p>
    <w:p w14:paraId="22DA267F" w14:textId="72B176A8" w:rsidR="00A90999" w:rsidRPr="00A90999" w:rsidRDefault="00A90999" w:rsidP="00A90999">
      <w:pPr>
        <w:jc w:val="both"/>
        <w:rPr>
          <w:rFonts w:ascii="Calibri" w:hAnsi="Calibri" w:cs="Calibri"/>
          <w:sz w:val="32"/>
          <w:szCs w:val="32"/>
        </w:rPr>
      </w:pPr>
      <w:r w:rsidRPr="00A90999">
        <w:rPr>
          <w:rFonts w:ascii="Calibri" w:hAnsi="Calibri" w:cs="Calibri"/>
          <w:sz w:val="32"/>
          <w:szCs w:val="32"/>
        </w:rPr>
        <w:t xml:space="preserve">Observing the contemporary evolution of Saudi Arabia and the wider Gulf region, one conclusion emerges quickly: resilience has become the defining requirement of this period. The global landscape is shifting at remarkable speed, and those without the </w:t>
      </w:r>
      <w:r w:rsidR="001C7005" w:rsidRPr="00A90999">
        <w:rPr>
          <w:rFonts w:ascii="Calibri" w:hAnsi="Calibri" w:cs="Calibri"/>
          <w:sz w:val="32"/>
          <w:szCs w:val="32"/>
        </w:rPr>
        <w:t>ability</w:t>
      </w:r>
      <w:r w:rsidRPr="00A90999">
        <w:rPr>
          <w:rFonts w:ascii="Calibri" w:hAnsi="Calibri" w:cs="Calibri"/>
          <w:sz w:val="32"/>
          <w:szCs w:val="32"/>
        </w:rPr>
        <w:t xml:space="preserve"> to adapt risk being overtaken, regardless of current wealth or geopolitical weight.</w:t>
      </w:r>
    </w:p>
    <w:p w14:paraId="2603A8B6" w14:textId="7E46618B" w:rsidR="00A90999" w:rsidRPr="00A90999" w:rsidRDefault="00E47A17" w:rsidP="00A90999">
      <w:pPr>
        <w:jc w:val="both"/>
        <w:rPr>
          <w:rFonts w:ascii="Calibri" w:hAnsi="Calibri" w:cs="Calibri"/>
          <w:sz w:val="32"/>
          <w:szCs w:val="32"/>
        </w:rPr>
      </w:pPr>
      <w:r w:rsidRPr="00E47A17">
        <w:rPr>
          <w:rFonts w:ascii="Calibri" w:hAnsi="Calibri" w:cs="Calibri"/>
          <w:sz w:val="32"/>
          <w:szCs w:val="32"/>
        </w:rPr>
        <w:t xml:space="preserve">Saudi Arabia </w:t>
      </w:r>
      <w:r w:rsidR="00A90999" w:rsidRPr="00A90999">
        <w:rPr>
          <w:rFonts w:ascii="Calibri" w:hAnsi="Calibri" w:cs="Calibri"/>
          <w:sz w:val="32"/>
          <w:szCs w:val="32"/>
        </w:rPr>
        <w:t xml:space="preserve">has </w:t>
      </w:r>
      <w:r w:rsidR="001C7005" w:rsidRPr="00A90999">
        <w:rPr>
          <w:rFonts w:ascii="Calibri" w:hAnsi="Calibri" w:cs="Calibri"/>
          <w:sz w:val="32"/>
          <w:szCs w:val="32"/>
        </w:rPr>
        <w:t>signaled</w:t>
      </w:r>
      <w:r w:rsidR="00A90999" w:rsidRPr="00A90999">
        <w:rPr>
          <w:rFonts w:ascii="Calibri" w:hAnsi="Calibri" w:cs="Calibri"/>
          <w:sz w:val="32"/>
          <w:szCs w:val="32"/>
        </w:rPr>
        <w:t xml:space="preserve"> this reality with notable clarity, redirecting capital toward sectors seen as more viable and consequential in the decades ahead</w:t>
      </w:r>
      <w:r w:rsidR="001C7005">
        <w:rPr>
          <w:rFonts w:ascii="Calibri" w:hAnsi="Calibri" w:cs="Calibri"/>
          <w:sz w:val="32"/>
          <w:szCs w:val="32"/>
        </w:rPr>
        <w:t xml:space="preserve">, this </w:t>
      </w:r>
      <w:r w:rsidR="00A90999" w:rsidRPr="00A90999">
        <w:rPr>
          <w:rFonts w:ascii="Calibri" w:hAnsi="Calibri" w:cs="Calibri"/>
          <w:sz w:val="32"/>
          <w:szCs w:val="32"/>
        </w:rPr>
        <w:t>reflects a deliberate approach in which investment follows long-term va</w:t>
      </w:r>
      <w:r w:rsidR="001C7005">
        <w:rPr>
          <w:rFonts w:ascii="Calibri" w:hAnsi="Calibri" w:cs="Calibri"/>
          <w:sz w:val="32"/>
          <w:szCs w:val="32"/>
        </w:rPr>
        <w:t>lue.</w:t>
      </w:r>
      <w:r>
        <w:rPr>
          <w:rFonts w:ascii="Calibri" w:hAnsi="Calibri" w:cs="Calibri"/>
          <w:sz w:val="32"/>
          <w:szCs w:val="32"/>
        </w:rPr>
        <w:t xml:space="preserve"> </w:t>
      </w:r>
    </w:p>
    <w:p w14:paraId="756C0809" w14:textId="13E0F453" w:rsidR="00A90999" w:rsidRPr="00A90999" w:rsidRDefault="00A90999" w:rsidP="00A90999">
      <w:pPr>
        <w:jc w:val="both"/>
        <w:rPr>
          <w:rFonts w:ascii="Calibri" w:hAnsi="Calibri" w:cs="Calibri"/>
          <w:sz w:val="32"/>
          <w:szCs w:val="32"/>
        </w:rPr>
      </w:pPr>
      <w:r w:rsidRPr="00A90999">
        <w:rPr>
          <w:rFonts w:ascii="Calibri" w:hAnsi="Calibri" w:cs="Calibri"/>
          <w:sz w:val="32"/>
          <w:szCs w:val="32"/>
        </w:rPr>
        <w:t xml:space="preserve">While the visible outcomes of this shift are striking, including new cities, resort developments, and expanding entertainment destinations, they remain secondary to a deeper priority: human capital. </w:t>
      </w:r>
      <w:r w:rsidR="00E47A17" w:rsidRPr="00E47A17">
        <w:rPr>
          <w:rFonts w:ascii="Calibri" w:hAnsi="Calibri" w:cs="Calibri"/>
          <w:sz w:val="32"/>
          <w:szCs w:val="32"/>
        </w:rPr>
        <w:t>A sophisticated metropolis can be built within a few years, yet without a population equipped to manage it, sustain it, and generate economic value from it, these structures risk becoming impressive but hollow projects.</w:t>
      </w:r>
      <w:r w:rsidRPr="00A90999">
        <w:rPr>
          <w:rFonts w:ascii="Calibri" w:hAnsi="Calibri" w:cs="Calibri"/>
          <w:sz w:val="32"/>
          <w:szCs w:val="32"/>
        </w:rPr>
        <w:t xml:space="preserve"> The Kingdom </w:t>
      </w:r>
      <w:r w:rsidR="00E47A17" w:rsidRPr="00A90999">
        <w:rPr>
          <w:rFonts w:ascii="Calibri" w:hAnsi="Calibri" w:cs="Calibri"/>
          <w:sz w:val="32"/>
          <w:szCs w:val="32"/>
        </w:rPr>
        <w:t>recognizes</w:t>
      </w:r>
      <w:r w:rsidRPr="00A90999">
        <w:rPr>
          <w:rFonts w:ascii="Calibri" w:hAnsi="Calibri" w:cs="Calibri"/>
          <w:sz w:val="32"/>
          <w:szCs w:val="32"/>
        </w:rPr>
        <w:t xml:space="preserve"> that intellectual growth, scientific literacy, and technical capability are among the most reliable investments available. </w:t>
      </w:r>
    </w:p>
    <w:p w14:paraId="4C7D2AC5" w14:textId="67650575" w:rsidR="00A90999" w:rsidRPr="00A90999" w:rsidRDefault="00A90999" w:rsidP="00DA2538">
      <w:pPr>
        <w:jc w:val="both"/>
        <w:rPr>
          <w:rFonts w:ascii="Calibri" w:hAnsi="Calibri" w:cs="Calibri"/>
          <w:sz w:val="32"/>
          <w:szCs w:val="32"/>
        </w:rPr>
      </w:pPr>
      <w:r w:rsidRPr="00A90999">
        <w:rPr>
          <w:rFonts w:ascii="Calibri" w:hAnsi="Calibri" w:cs="Calibri"/>
          <w:sz w:val="32"/>
          <w:szCs w:val="32"/>
        </w:rPr>
        <w:t xml:space="preserve">There is also </w:t>
      </w:r>
      <w:r w:rsidR="00DA2538" w:rsidRPr="00A90999">
        <w:rPr>
          <w:rFonts w:ascii="Calibri" w:hAnsi="Calibri" w:cs="Calibri"/>
          <w:sz w:val="32"/>
          <w:szCs w:val="32"/>
        </w:rPr>
        <w:t>growing</w:t>
      </w:r>
      <w:r w:rsidRPr="00A90999">
        <w:rPr>
          <w:rFonts w:ascii="Calibri" w:hAnsi="Calibri" w:cs="Calibri"/>
          <w:sz w:val="32"/>
          <w:szCs w:val="32"/>
        </w:rPr>
        <w:t xml:space="preserve"> recognition that technological change does not wait. In the current environment, a brief pause can translate into years of lost ground. For that reason, the Kingdom is directing vast resources into </w:t>
      </w:r>
      <w:r w:rsidR="00DA2538">
        <w:rPr>
          <w:rFonts w:ascii="Calibri" w:hAnsi="Calibri" w:cs="Calibri"/>
          <w:sz w:val="32"/>
          <w:szCs w:val="32"/>
        </w:rPr>
        <w:t>AI</w:t>
      </w:r>
      <w:r w:rsidRPr="00A90999">
        <w:rPr>
          <w:rFonts w:ascii="Calibri" w:hAnsi="Calibri" w:cs="Calibri"/>
          <w:sz w:val="32"/>
          <w:szCs w:val="32"/>
        </w:rPr>
        <w:t>, renewable energy, advanced manufacturing, and the digital economy</w:t>
      </w:r>
      <w:r w:rsidR="00DA2538">
        <w:rPr>
          <w:rFonts w:ascii="Calibri" w:hAnsi="Calibri" w:cs="Calibri"/>
          <w:sz w:val="32"/>
          <w:szCs w:val="32"/>
        </w:rPr>
        <w:t>, because t</w:t>
      </w:r>
      <w:r w:rsidRPr="00A90999">
        <w:rPr>
          <w:rFonts w:ascii="Calibri" w:hAnsi="Calibri" w:cs="Calibri"/>
          <w:sz w:val="32"/>
          <w:szCs w:val="32"/>
        </w:rPr>
        <w:t>hese fields are increasingly shaping the global order</w:t>
      </w:r>
      <w:r w:rsidR="00DA2538">
        <w:rPr>
          <w:rFonts w:ascii="Calibri" w:hAnsi="Calibri" w:cs="Calibri"/>
          <w:sz w:val="32"/>
          <w:szCs w:val="32"/>
        </w:rPr>
        <w:t>.</w:t>
      </w:r>
    </w:p>
    <w:p w14:paraId="78DE97D0" w14:textId="6BD496E1" w:rsidR="00A90999" w:rsidRPr="00A90999" w:rsidRDefault="00A90999" w:rsidP="006B18B6">
      <w:pPr>
        <w:jc w:val="both"/>
        <w:rPr>
          <w:rFonts w:ascii="Calibri" w:hAnsi="Calibri" w:cs="Calibri"/>
          <w:sz w:val="32"/>
          <w:szCs w:val="32"/>
        </w:rPr>
      </w:pPr>
      <w:r w:rsidRPr="00A90999">
        <w:rPr>
          <w:rFonts w:ascii="Calibri" w:hAnsi="Calibri" w:cs="Calibri"/>
          <w:sz w:val="32"/>
          <w:szCs w:val="32"/>
        </w:rPr>
        <w:t>Saudi Arabia’s rise and continued stability naturally radiate outward, strengthening the wider region</w:t>
      </w:r>
      <w:r w:rsidR="006B18B6">
        <w:rPr>
          <w:rFonts w:ascii="Calibri" w:hAnsi="Calibri" w:cs="Calibri"/>
          <w:sz w:val="32"/>
          <w:szCs w:val="32"/>
        </w:rPr>
        <w:t xml:space="preserve">, as the </w:t>
      </w:r>
      <w:r w:rsidRPr="00A90999">
        <w:rPr>
          <w:rFonts w:ascii="Calibri" w:hAnsi="Calibri" w:cs="Calibri"/>
          <w:sz w:val="32"/>
          <w:szCs w:val="32"/>
        </w:rPr>
        <w:t xml:space="preserve">Kingdom views its own renewal as linked to broader Arab stability, a perspective reflected in aid and </w:t>
      </w:r>
      <w:r w:rsidRPr="00A90999">
        <w:rPr>
          <w:rFonts w:ascii="Calibri" w:hAnsi="Calibri" w:cs="Calibri"/>
          <w:sz w:val="32"/>
          <w:szCs w:val="32"/>
        </w:rPr>
        <w:lastRenderedPageBreak/>
        <w:t xml:space="preserve">investment flowing toward Syria and Lebanon. Bilateral agreements in aviation, telecommunications, and infrastructure development reflect a belief that regional progress can amplify domestic success. </w:t>
      </w:r>
      <w:r w:rsidR="00A53395">
        <w:rPr>
          <w:rFonts w:ascii="Calibri" w:hAnsi="Calibri" w:cs="Calibri"/>
          <w:sz w:val="32"/>
          <w:szCs w:val="32"/>
        </w:rPr>
        <w:t xml:space="preserve"> </w:t>
      </w:r>
    </w:p>
    <w:p w14:paraId="0E72F503" w14:textId="74F70C97" w:rsidR="00A90999" w:rsidRPr="00A90999" w:rsidRDefault="00A90999" w:rsidP="00A90999">
      <w:pPr>
        <w:jc w:val="both"/>
        <w:rPr>
          <w:rFonts w:ascii="Calibri" w:hAnsi="Calibri" w:cs="Calibri"/>
          <w:sz w:val="32"/>
          <w:szCs w:val="32"/>
        </w:rPr>
      </w:pPr>
      <w:r w:rsidRPr="00A90999">
        <w:rPr>
          <w:rFonts w:ascii="Calibri" w:hAnsi="Calibri" w:cs="Calibri"/>
          <w:sz w:val="32"/>
          <w:szCs w:val="32"/>
        </w:rPr>
        <w:t xml:space="preserve">The recently unveiled economic diversification strategy, valued at two trillion dollars, </w:t>
      </w:r>
      <w:r w:rsidR="00A53395" w:rsidRPr="00A53395">
        <w:rPr>
          <w:rFonts w:ascii="Calibri" w:hAnsi="Calibri" w:cs="Calibri"/>
          <w:sz w:val="32"/>
          <w:szCs w:val="32"/>
        </w:rPr>
        <w:t>represents a major effort to move from an oil revenue dependent model to a multi layered economy</w:t>
      </w:r>
      <w:r w:rsidRPr="00A90999">
        <w:rPr>
          <w:rFonts w:ascii="Calibri" w:hAnsi="Calibri" w:cs="Calibri"/>
          <w:sz w:val="32"/>
          <w:szCs w:val="32"/>
        </w:rPr>
        <w:t>. As the global energy landscape evolves, oil demand will not remain fixed, making diversification a necessity rather than a matter for debate. Projections from Fitch Ratings suggest a 4.8</w:t>
      </w:r>
      <w:r w:rsidR="00A53395">
        <w:rPr>
          <w:rFonts w:ascii="Calibri" w:hAnsi="Calibri" w:cs="Calibri"/>
          <w:sz w:val="32"/>
          <w:szCs w:val="32"/>
        </w:rPr>
        <w:t>%</w:t>
      </w:r>
      <w:r w:rsidRPr="00A90999">
        <w:rPr>
          <w:rFonts w:ascii="Calibri" w:hAnsi="Calibri" w:cs="Calibri"/>
          <w:sz w:val="32"/>
          <w:szCs w:val="32"/>
        </w:rPr>
        <w:t>growth rate for the Saudi economy by 2026, supported by both hydrocarbon and non-oil sectors. That balance illustrates the practical value of resilience, where current strengths are used to build the industries that will shape the future.</w:t>
      </w:r>
    </w:p>
    <w:p w14:paraId="1BBBBAC2" w14:textId="52B1AD89" w:rsidR="000E629B" w:rsidRDefault="000E629B" w:rsidP="00A90999">
      <w:pPr>
        <w:jc w:val="both"/>
        <w:rPr>
          <w:rFonts w:ascii="Calibri" w:hAnsi="Calibri" w:cs="Calibri"/>
          <w:sz w:val="32"/>
          <w:szCs w:val="32"/>
        </w:rPr>
      </w:pPr>
      <w:r w:rsidRPr="000E629B">
        <w:rPr>
          <w:rFonts w:ascii="Calibri" w:hAnsi="Calibri" w:cs="Calibri"/>
          <w:sz w:val="32"/>
          <w:szCs w:val="32"/>
        </w:rPr>
        <w:t xml:space="preserve">I have followed Saudi Arabia’s transformation since its earliest days. My first visit was in 1967 </w:t>
      </w:r>
      <w:proofErr w:type="gramStart"/>
      <w:r w:rsidRPr="000E629B">
        <w:rPr>
          <w:rFonts w:ascii="Calibri" w:hAnsi="Calibri" w:cs="Calibri"/>
          <w:sz w:val="32"/>
          <w:szCs w:val="32"/>
        </w:rPr>
        <w:t>for Hajj</w:t>
      </w:r>
      <w:proofErr w:type="gramEnd"/>
      <w:r w:rsidRPr="000E629B">
        <w:rPr>
          <w:rFonts w:ascii="Calibri" w:hAnsi="Calibri" w:cs="Calibri"/>
          <w:sz w:val="32"/>
          <w:szCs w:val="32"/>
        </w:rPr>
        <w:t xml:space="preserve">, at a time when the Kingdom was still at the start of a new era. I was then beginning my career in Jeddah, just as the first signs of </w:t>
      </w:r>
      <w:r w:rsidRPr="000E629B">
        <w:rPr>
          <w:rFonts w:ascii="Calibri" w:hAnsi="Calibri" w:cs="Calibri"/>
          <w:sz w:val="32"/>
          <w:szCs w:val="32"/>
        </w:rPr>
        <w:t>modernization</w:t>
      </w:r>
      <w:r w:rsidRPr="000E629B">
        <w:rPr>
          <w:rFonts w:ascii="Calibri" w:hAnsi="Calibri" w:cs="Calibri"/>
          <w:sz w:val="32"/>
          <w:szCs w:val="32"/>
        </w:rPr>
        <w:t xml:space="preserve"> were emerging and oil income was starting to influence daily life. Through my work in the automotive sector and training with Chrysler, I had a front row view of an economy laying its modern foundations. That is why today’s changes feel, to me, like an accelerated and expanded version of the promise I witnessed at the beginning.</w:t>
      </w:r>
    </w:p>
    <w:p w14:paraId="224CF458" w14:textId="5649DDA1" w:rsidR="00B60388" w:rsidRPr="00A90999" w:rsidRDefault="00A90999" w:rsidP="00467BE3">
      <w:pPr>
        <w:jc w:val="both"/>
      </w:pPr>
      <w:r w:rsidRPr="00A90999">
        <w:rPr>
          <w:rFonts w:ascii="Calibri" w:hAnsi="Calibri" w:cs="Calibri"/>
          <w:sz w:val="32"/>
          <w:szCs w:val="32"/>
        </w:rPr>
        <w:t xml:space="preserve">The arc of change has been long and demanding, yet </w:t>
      </w:r>
      <w:r w:rsidR="00467BE3" w:rsidRPr="00A90999">
        <w:rPr>
          <w:rFonts w:ascii="Calibri" w:hAnsi="Calibri" w:cs="Calibri"/>
          <w:sz w:val="32"/>
          <w:szCs w:val="32"/>
        </w:rPr>
        <w:t>deeper</w:t>
      </w:r>
      <w:r w:rsidRPr="00A90999">
        <w:rPr>
          <w:rFonts w:ascii="Calibri" w:hAnsi="Calibri" w:cs="Calibri"/>
          <w:sz w:val="32"/>
          <w:szCs w:val="32"/>
        </w:rPr>
        <w:t xml:space="preserve"> achievement lies in building a mindset that embraces change rather than fears it. Saudi Arabia has become a crucible for innovation and high performance, and this </w:t>
      </w:r>
      <w:r w:rsidR="00467BE3" w:rsidRPr="00A90999">
        <w:rPr>
          <w:rFonts w:ascii="Calibri" w:hAnsi="Calibri" w:cs="Calibri"/>
          <w:sz w:val="32"/>
          <w:szCs w:val="32"/>
        </w:rPr>
        <w:t>modernization</w:t>
      </w:r>
      <w:r w:rsidRPr="00A90999">
        <w:rPr>
          <w:rFonts w:ascii="Calibri" w:hAnsi="Calibri" w:cs="Calibri"/>
          <w:sz w:val="32"/>
          <w:szCs w:val="32"/>
        </w:rPr>
        <w:t xml:space="preserve"> does not discard cultural heritage</w:t>
      </w:r>
      <w:r w:rsidR="00467BE3">
        <w:rPr>
          <w:rFonts w:ascii="Calibri" w:hAnsi="Calibri" w:cs="Calibri"/>
          <w:sz w:val="32"/>
          <w:szCs w:val="32"/>
        </w:rPr>
        <w:t>, i</w:t>
      </w:r>
      <w:r w:rsidRPr="00A90999">
        <w:rPr>
          <w:rFonts w:ascii="Calibri" w:hAnsi="Calibri" w:cs="Calibri"/>
          <w:sz w:val="32"/>
          <w:szCs w:val="32"/>
        </w:rPr>
        <w:t xml:space="preserve">t often reinforces it by aligning professional ambition with national identity. The broader lesson is plain: this is an era in which adaptability is </w:t>
      </w:r>
      <w:r w:rsidRPr="00A90999">
        <w:rPr>
          <w:rFonts w:ascii="Calibri" w:hAnsi="Calibri" w:cs="Calibri"/>
          <w:sz w:val="32"/>
          <w:szCs w:val="32"/>
        </w:rPr>
        <w:lastRenderedPageBreak/>
        <w:t>the primary currency</w:t>
      </w:r>
      <w:r w:rsidR="00467BE3">
        <w:rPr>
          <w:rFonts w:ascii="Calibri" w:hAnsi="Calibri" w:cs="Calibri"/>
          <w:sz w:val="32"/>
          <w:szCs w:val="32"/>
        </w:rPr>
        <w:t>, and t</w:t>
      </w:r>
      <w:r w:rsidRPr="00A90999">
        <w:rPr>
          <w:rFonts w:ascii="Calibri" w:hAnsi="Calibri" w:cs="Calibri"/>
          <w:sz w:val="32"/>
          <w:szCs w:val="32"/>
        </w:rPr>
        <w:t xml:space="preserve">he Gulf has chosen to transform proactively rather than reactively, seeking to lead rather than follow. </w:t>
      </w:r>
      <w:r w:rsidR="00467BE3" w:rsidRPr="00467BE3">
        <w:rPr>
          <w:rFonts w:ascii="Calibri" w:hAnsi="Calibri" w:cs="Calibri"/>
          <w:sz w:val="32"/>
          <w:szCs w:val="32"/>
        </w:rPr>
        <w:t>In such an environment, flexibility becomes the defining test of durability and achievement, enabling societies to move with the speed and discipline the present era requires.</w:t>
      </w:r>
    </w:p>
    <w:sectPr w:rsidR="00B60388" w:rsidRPr="00A909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8A3"/>
    <w:rsid w:val="00056B34"/>
    <w:rsid w:val="00085E08"/>
    <w:rsid w:val="000901E1"/>
    <w:rsid w:val="000C059B"/>
    <w:rsid w:val="000D39BF"/>
    <w:rsid w:val="000E629B"/>
    <w:rsid w:val="000F0FC8"/>
    <w:rsid w:val="001C7005"/>
    <w:rsid w:val="00274114"/>
    <w:rsid w:val="002B15B4"/>
    <w:rsid w:val="00304390"/>
    <w:rsid w:val="00314D76"/>
    <w:rsid w:val="00351F0D"/>
    <w:rsid w:val="0038186E"/>
    <w:rsid w:val="00467BE3"/>
    <w:rsid w:val="004B1D4F"/>
    <w:rsid w:val="004E1BD5"/>
    <w:rsid w:val="005B7F89"/>
    <w:rsid w:val="005C3AC4"/>
    <w:rsid w:val="00627CE8"/>
    <w:rsid w:val="006B18B6"/>
    <w:rsid w:val="006B6D1F"/>
    <w:rsid w:val="0070652E"/>
    <w:rsid w:val="00731C6A"/>
    <w:rsid w:val="00736FCB"/>
    <w:rsid w:val="00745311"/>
    <w:rsid w:val="008148C2"/>
    <w:rsid w:val="009258A3"/>
    <w:rsid w:val="009959ED"/>
    <w:rsid w:val="009C14A1"/>
    <w:rsid w:val="00A53395"/>
    <w:rsid w:val="00A90999"/>
    <w:rsid w:val="00B60388"/>
    <w:rsid w:val="00D65265"/>
    <w:rsid w:val="00DA2538"/>
    <w:rsid w:val="00E47A17"/>
    <w:rsid w:val="00E666CA"/>
    <w:rsid w:val="00ED2A89"/>
    <w:rsid w:val="00F7422D"/>
    <w:rsid w:val="00F8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D950C"/>
  <w15:chartTrackingRefBased/>
  <w15:docId w15:val="{3C67D6CF-FF10-46D1-91BE-6F2D1C8D9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9099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 Mousa</dc:creator>
  <cp:keywords/>
  <dc:description/>
  <cp:lastModifiedBy>Hp</cp:lastModifiedBy>
  <cp:revision>6</cp:revision>
  <dcterms:created xsi:type="dcterms:W3CDTF">2026-02-10T19:22:00Z</dcterms:created>
  <dcterms:modified xsi:type="dcterms:W3CDTF">2026-02-13T19:51:00Z</dcterms:modified>
</cp:coreProperties>
</file>