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4C5FAE" w14:textId="19D206FD" w:rsidR="008A6A5F" w:rsidRPr="0089657B" w:rsidRDefault="008A6A5F" w:rsidP="00935FCD">
      <w:pPr>
        <w:bidi w:val="0"/>
        <w:jc w:val="both"/>
        <w:rPr>
          <w:rFonts w:ascii="Calibri" w:hAnsi="Calibri" w:cs="Calibri"/>
          <w:sz w:val="28"/>
          <w:szCs w:val="28"/>
        </w:rPr>
      </w:pPr>
      <w:r w:rsidRPr="0089657B">
        <w:rPr>
          <w:rFonts w:ascii="Calibri" w:hAnsi="Calibri" w:cs="Calibri"/>
          <w:b/>
          <w:bCs/>
          <w:sz w:val="28"/>
          <w:szCs w:val="28"/>
        </w:rPr>
        <w:t xml:space="preserve">National Action Charter: </w:t>
      </w:r>
      <w:r w:rsidR="0089657B">
        <w:rPr>
          <w:rFonts w:ascii="Calibri" w:hAnsi="Calibri" w:cs="Calibri"/>
          <w:b/>
          <w:bCs/>
          <w:sz w:val="28"/>
          <w:szCs w:val="28"/>
        </w:rPr>
        <w:t>25</w:t>
      </w:r>
      <w:r w:rsidRPr="0089657B">
        <w:rPr>
          <w:rFonts w:ascii="Calibri" w:hAnsi="Calibri" w:cs="Calibri"/>
          <w:b/>
          <w:bCs/>
          <w:sz w:val="28"/>
          <w:szCs w:val="28"/>
        </w:rPr>
        <w:t xml:space="preserve"> Years of Transformational Development</w:t>
      </w:r>
    </w:p>
    <w:p w14:paraId="715C562E" w14:textId="1B3368E8" w:rsidR="003B4DC5" w:rsidRPr="003B4DC5" w:rsidRDefault="003B4DC5" w:rsidP="00935FCD">
      <w:pPr>
        <w:bidi w:val="0"/>
        <w:jc w:val="both"/>
        <w:rPr>
          <w:rFonts w:ascii="Calibri" w:hAnsi="Calibri" w:cs="Calibri"/>
          <w:sz w:val="28"/>
          <w:szCs w:val="28"/>
        </w:rPr>
      </w:pPr>
      <w:r w:rsidRPr="003B4DC5">
        <w:rPr>
          <w:rFonts w:ascii="Calibri" w:hAnsi="Calibri" w:cs="Calibri"/>
          <w:sz w:val="28"/>
          <w:szCs w:val="28"/>
        </w:rPr>
        <w:t>Akram M</w:t>
      </w:r>
      <w:r w:rsidRPr="0089657B">
        <w:rPr>
          <w:rFonts w:ascii="Calibri" w:hAnsi="Calibri" w:cs="Calibri"/>
          <w:sz w:val="28"/>
          <w:szCs w:val="28"/>
        </w:rPr>
        <w:t>iknas</w:t>
      </w:r>
    </w:p>
    <w:p w14:paraId="2CDFB4A0" w14:textId="3D68E413" w:rsidR="008A6A5F" w:rsidRPr="0089657B" w:rsidRDefault="008A6A5F" w:rsidP="00935FCD">
      <w:pPr>
        <w:bidi w:val="0"/>
        <w:jc w:val="both"/>
        <w:rPr>
          <w:rFonts w:ascii="Calibri" w:hAnsi="Calibri" w:cs="Calibri"/>
          <w:sz w:val="28"/>
          <w:szCs w:val="28"/>
        </w:rPr>
      </w:pPr>
      <w:r w:rsidRPr="0089657B">
        <w:rPr>
          <w:rFonts w:ascii="Calibri" w:hAnsi="Calibri" w:cs="Calibri"/>
          <w:sz w:val="28"/>
          <w:szCs w:val="28"/>
        </w:rPr>
        <w:t xml:space="preserve">Looking back to February 2001, the prevailing mood was one of optimism and a shared belief that Bahrain was entering a turning point that would reshape the present and set a clearer course for the future. As the Kingdom marks the </w:t>
      </w:r>
      <w:r w:rsidR="00F42BE5" w:rsidRPr="0089657B">
        <w:rPr>
          <w:rFonts w:ascii="Calibri" w:hAnsi="Calibri" w:cs="Calibri"/>
          <w:sz w:val="28"/>
          <w:szCs w:val="28"/>
        </w:rPr>
        <w:t>twenty-five-year</w:t>
      </w:r>
      <w:r w:rsidRPr="0089657B">
        <w:rPr>
          <w:rFonts w:ascii="Calibri" w:hAnsi="Calibri" w:cs="Calibri"/>
          <w:sz w:val="28"/>
          <w:szCs w:val="28"/>
        </w:rPr>
        <w:t xml:space="preserve"> anniversary of the National Action Charter, the Charter stands out as far more than a political document. It served as a national covenant between leadership and society, anchored in a guiding principle that placed Bahrain first</w:t>
      </w:r>
      <w:r w:rsidRPr="0089657B">
        <w:rPr>
          <w:rFonts w:ascii="Calibri" w:hAnsi="Calibri" w:cs="Calibri"/>
          <w:sz w:val="28"/>
          <w:szCs w:val="28"/>
          <w:rtl/>
        </w:rPr>
        <w:t>.</w:t>
      </w:r>
    </w:p>
    <w:p w14:paraId="10C18356" w14:textId="510410F0" w:rsidR="008A6A5F" w:rsidRPr="0089657B" w:rsidRDefault="008A6A5F" w:rsidP="00935FCD">
      <w:pPr>
        <w:bidi w:val="0"/>
        <w:jc w:val="both"/>
        <w:rPr>
          <w:rFonts w:ascii="Calibri" w:hAnsi="Calibri" w:cs="Calibri"/>
          <w:sz w:val="28"/>
          <w:szCs w:val="28"/>
        </w:rPr>
      </w:pPr>
      <w:r w:rsidRPr="0089657B">
        <w:rPr>
          <w:rFonts w:ascii="Calibri" w:hAnsi="Calibri" w:cs="Calibri"/>
          <w:sz w:val="28"/>
          <w:szCs w:val="28"/>
        </w:rPr>
        <w:t xml:space="preserve">Its value lies not only in launching a </w:t>
      </w:r>
      <w:r w:rsidR="00F42BE5" w:rsidRPr="0089657B">
        <w:rPr>
          <w:rFonts w:ascii="Calibri" w:hAnsi="Calibri" w:cs="Calibri"/>
          <w:sz w:val="28"/>
          <w:szCs w:val="28"/>
        </w:rPr>
        <w:t>far-reaching</w:t>
      </w:r>
      <w:r w:rsidRPr="0089657B">
        <w:rPr>
          <w:rFonts w:ascii="Calibri" w:hAnsi="Calibri" w:cs="Calibri"/>
          <w:sz w:val="28"/>
          <w:szCs w:val="28"/>
        </w:rPr>
        <w:t xml:space="preserve"> reform agenda, but in providing a lasting compass for national aspirations. At the time, Bahrain attracted regional and international attention for pursuing a democratic and people </w:t>
      </w:r>
      <w:r w:rsidR="00F42BE5" w:rsidRPr="0089657B">
        <w:rPr>
          <w:rFonts w:ascii="Calibri" w:hAnsi="Calibri" w:cs="Calibri"/>
          <w:sz w:val="28"/>
          <w:szCs w:val="28"/>
        </w:rPr>
        <w:t>centered</w:t>
      </w:r>
      <w:r w:rsidRPr="0089657B">
        <w:rPr>
          <w:rFonts w:ascii="Calibri" w:hAnsi="Calibri" w:cs="Calibri"/>
          <w:sz w:val="28"/>
          <w:szCs w:val="28"/>
        </w:rPr>
        <w:t xml:space="preserve"> model with clear intent. The Charter strengthened the foundations of a modern institutional state, shifting governance from traditional practice to a system rooted in law and accountable institutions. It established a parliament to represent the public voice, a constitutional court to safeguard rights, and broader freedoms of press and expression that made citizens active partners in decision making. </w:t>
      </w:r>
    </w:p>
    <w:p w14:paraId="1B3C0C32" w14:textId="25F7102F" w:rsidR="00F42BE5" w:rsidRPr="0089657B" w:rsidRDefault="00F42BE5" w:rsidP="00935FCD">
      <w:pPr>
        <w:bidi w:val="0"/>
        <w:jc w:val="both"/>
        <w:rPr>
          <w:rFonts w:ascii="Calibri" w:hAnsi="Calibri" w:cs="Calibri" w:hint="cs"/>
          <w:sz w:val="28"/>
          <w:szCs w:val="28"/>
        </w:rPr>
      </w:pPr>
      <w:r w:rsidRPr="0089657B">
        <w:rPr>
          <w:rFonts w:ascii="Calibri" w:hAnsi="Calibri" w:cs="Calibri"/>
          <w:sz w:val="28"/>
          <w:szCs w:val="28"/>
        </w:rPr>
        <w:t xml:space="preserve">The Charter’s defining strength lies in the way it </w:t>
      </w:r>
      <w:r w:rsidR="00935FCD" w:rsidRPr="0089657B">
        <w:rPr>
          <w:rFonts w:ascii="Calibri" w:hAnsi="Calibri" w:cs="Calibri"/>
          <w:sz w:val="28"/>
          <w:szCs w:val="28"/>
        </w:rPr>
        <w:t>formalized</w:t>
      </w:r>
      <w:r w:rsidRPr="0089657B">
        <w:rPr>
          <w:rFonts w:ascii="Calibri" w:hAnsi="Calibri" w:cs="Calibri"/>
          <w:sz w:val="28"/>
          <w:szCs w:val="28"/>
        </w:rPr>
        <w:t xml:space="preserve"> partnership between government and society. Nations are not built by unilateral decisions or isolated demands, but by an </w:t>
      </w:r>
      <w:r w:rsidR="00935FCD" w:rsidRPr="0089657B">
        <w:rPr>
          <w:rFonts w:ascii="Calibri" w:hAnsi="Calibri" w:cs="Calibri"/>
          <w:sz w:val="28"/>
          <w:szCs w:val="28"/>
        </w:rPr>
        <w:t>organized</w:t>
      </w:r>
      <w:r w:rsidRPr="0089657B">
        <w:rPr>
          <w:rFonts w:ascii="Calibri" w:hAnsi="Calibri" w:cs="Calibri"/>
          <w:sz w:val="28"/>
          <w:szCs w:val="28"/>
        </w:rPr>
        <w:t xml:space="preserve"> balance between state direction and civic participation. The Charter reinforced the idea that citizens are not passive recipients, but contributors to shaping and improving public life, creating a steady civic dynamic in which government sets strategy and citizens engage through legitimate channels. </w:t>
      </w:r>
    </w:p>
    <w:p w14:paraId="6EE3C65B" w14:textId="1234A57B" w:rsidR="00F42BE5" w:rsidRPr="0089657B" w:rsidRDefault="00F42BE5" w:rsidP="00935FCD">
      <w:pPr>
        <w:bidi w:val="0"/>
        <w:jc w:val="both"/>
        <w:rPr>
          <w:rFonts w:ascii="Calibri" w:hAnsi="Calibri" w:cs="Calibri"/>
          <w:sz w:val="28"/>
          <w:szCs w:val="28"/>
        </w:rPr>
      </w:pPr>
      <w:r w:rsidRPr="0089657B">
        <w:rPr>
          <w:rFonts w:ascii="Calibri" w:hAnsi="Calibri" w:cs="Calibri"/>
          <w:sz w:val="28"/>
          <w:szCs w:val="28"/>
        </w:rPr>
        <w:t xml:space="preserve">Bahrain’s National Action Charter also draws stature from its domestic origins. It was shaped through genuine national dialogue and a clear royal vision to build a stronger future. Its value is seen not only in economic outcomes, but in human development: opening space for talent, advancing women’s rights and leadership, and enabling youth to play an active role in national change. </w:t>
      </w:r>
    </w:p>
    <w:p w14:paraId="1BDA063A" w14:textId="4F87F4CF" w:rsidR="00935FCD" w:rsidRPr="0089657B" w:rsidRDefault="00935FCD" w:rsidP="00935FCD">
      <w:pPr>
        <w:bidi w:val="0"/>
        <w:jc w:val="both"/>
        <w:rPr>
          <w:rFonts w:ascii="Calibri" w:hAnsi="Calibri" w:cs="Calibri"/>
          <w:sz w:val="28"/>
          <w:szCs w:val="28"/>
        </w:rPr>
      </w:pPr>
      <w:r w:rsidRPr="0089657B">
        <w:rPr>
          <w:rFonts w:ascii="Calibri" w:hAnsi="Calibri" w:cs="Calibri"/>
          <w:sz w:val="28"/>
          <w:szCs w:val="28"/>
        </w:rPr>
        <w:t xml:space="preserve">National progress was never effortless; it demanded patience and sustained work. The Charter shaped the modern national identity Bahrain </w:t>
      </w:r>
      <w:r w:rsidRPr="0089657B">
        <w:rPr>
          <w:rFonts w:ascii="Calibri" w:hAnsi="Calibri" w:cs="Calibri"/>
          <w:sz w:val="28"/>
          <w:szCs w:val="28"/>
        </w:rPr>
        <w:t>recognizes</w:t>
      </w:r>
      <w:r w:rsidRPr="0089657B">
        <w:rPr>
          <w:rFonts w:ascii="Calibri" w:hAnsi="Calibri" w:cs="Calibri"/>
          <w:sz w:val="28"/>
          <w:szCs w:val="28"/>
        </w:rPr>
        <w:t xml:space="preserve"> today, balancing openness with respect for history and tradition while keeping the country oriented toward the future. It is reassuring to see younger </w:t>
      </w:r>
      <w:r w:rsidRPr="0089657B">
        <w:rPr>
          <w:rFonts w:ascii="Calibri" w:hAnsi="Calibri" w:cs="Calibri"/>
          <w:sz w:val="28"/>
          <w:szCs w:val="28"/>
        </w:rPr>
        <w:lastRenderedPageBreak/>
        <w:t>generations</w:t>
      </w:r>
      <w:r w:rsidRPr="0089657B">
        <w:rPr>
          <w:rFonts w:ascii="Calibri" w:hAnsi="Calibri" w:cs="Calibri"/>
          <w:sz w:val="28"/>
          <w:szCs w:val="28"/>
        </w:rPr>
        <w:t xml:space="preserve"> </w:t>
      </w:r>
      <w:r w:rsidRPr="0089657B">
        <w:rPr>
          <w:rFonts w:ascii="Calibri" w:hAnsi="Calibri" w:cs="Calibri"/>
          <w:sz w:val="28"/>
          <w:szCs w:val="28"/>
        </w:rPr>
        <w:t>inherit its gains with an understanding that the Charter is not a single historic event, but a living framework that shapes daily public life</w:t>
      </w:r>
      <w:r w:rsidRPr="0089657B">
        <w:rPr>
          <w:rFonts w:ascii="Calibri" w:hAnsi="Calibri" w:cs="Calibri"/>
          <w:sz w:val="28"/>
          <w:szCs w:val="28"/>
          <w:rtl/>
        </w:rPr>
        <w:t>.</w:t>
      </w:r>
    </w:p>
    <w:p w14:paraId="17026FC3" w14:textId="61D2E59A" w:rsidR="00010E14" w:rsidRPr="0089657B" w:rsidRDefault="00935FCD" w:rsidP="00010E14">
      <w:pPr>
        <w:bidi w:val="0"/>
        <w:jc w:val="both"/>
        <w:rPr>
          <w:rFonts w:ascii="Calibri" w:hAnsi="Calibri" w:cs="Calibri"/>
          <w:sz w:val="28"/>
          <w:szCs w:val="28"/>
        </w:rPr>
      </w:pPr>
      <w:r w:rsidRPr="0089657B">
        <w:rPr>
          <w:rFonts w:ascii="Calibri" w:hAnsi="Calibri" w:cs="Calibri"/>
          <w:sz w:val="28"/>
          <w:szCs w:val="28"/>
        </w:rPr>
        <w:t xml:space="preserve">At its core, the Charter is built on trust: between leadership and citizens, and among citizens themselves. It helped unify society around national purpose and showed the world that Bahrain, despite its small size, possesses the civic capacity and open mindedness required for political and social innovation. That priority is reflected in a governance model that places dignity and rights at the </w:t>
      </w:r>
      <w:r w:rsidRPr="0089657B">
        <w:rPr>
          <w:rFonts w:ascii="Calibri" w:hAnsi="Calibri" w:cs="Calibri"/>
          <w:sz w:val="28"/>
          <w:szCs w:val="28"/>
        </w:rPr>
        <w:t>center</w:t>
      </w:r>
      <w:r w:rsidRPr="0089657B">
        <w:rPr>
          <w:rFonts w:ascii="Calibri" w:hAnsi="Calibri" w:cs="Calibri"/>
          <w:sz w:val="28"/>
          <w:szCs w:val="28"/>
        </w:rPr>
        <w:t xml:space="preserve">, evident in legislation, </w:t>
      </w:r>
      <w:r w:rsidR="00010E14" w:rsidRPr="0089657B">
        <w:rPr>
          <w:rFonts w:ascii="Calibri" w:hAnsi="Calibri" w:cs="Calibri"/>
          <w:sz w:val="28"/>
          <w:szCs w:val="28"/>
        </w:rPr>
        <w:t>institutions</w:t>
      </w:r>
      <w:r w:rsidRPr="0089657B">
        <w:rPr>
          <w:rFonts w:ascii="Calibri" w:hAnsi="Calibri" w:cs="Calibri"/>
          <w:sz w:val="28"/>
          <w:szCs w:val="28"/>
        </w:rPr>
        <w:t xml:space="preserve"> </w:t>
      </w:r>
      <w:r w:rsidR="00010E14" w:rsidRPr="0089657B">
        <w:rPr>
          <w:rFonts w:ascii="Calibri" w:hAnsi="Calibri" w:cs="Calibri"/>
          <w:sz w:val="28"/>
          <w:szCs w:val="28"/>
        </w:rPr>
        <w:t>and the openness of public expression</w:t>
      </w:r>
      <w:r w:rsidR="00010E14" w:rsidRPr="0089657B">
        <w:rPr>
          <w:rFonts w:ascii="Calibri" w:hAnsi="Calibri" w:cs="Calibri"/>
          <w:sz w:val="28"/>
          <w:szCs w:val="28"/>
        </w:rPr>
        <w:t>.</w:t>
      </w:r>
    </w:p>
    <w:p w14:paraId="34AF7EF9" w14:textId="0D2A79EC" w:rsidR="00935FCD" w:rsidRPr="0089657B" w:rsidRDefault="00935FCD" w:rsidP="00010E14">
      <w:pPr>
        <w:bidi w:val="0"/>
        <w:jc w:val="both"/>
        <w:rPr>
          <w:rFonts w:ascii="Calibri" w:hAnsi="Calibri" w:cs="Calibri"/>
          <w:sz w:val="28"/>
          <w:szCs w:val="28"/>
        </w:rPr>
      </w:pPr>
      <w:r w:rsidRPr="0089657B">
        <w:rPr>
          <w:rFonts w:ascii="Calibri" w:hAnsi="Calibri" w:cs="Calibri"/>
          <w:sz w:val="28"/>
          <w:szCs w:val="28"/>
        </w:rPr>
        <w:t xml:space="preserve">It also reshaped government performance by embedding a culture that </w:t>
      </w:r>
      <w:r w:rsidR="00AE43B1" w:rsidRPr="0089657B">
        <w:rPr>
          <w:rFonts w:ascii="Calibri" w:hAnsi="Calibri" w:cs="Calibri"/>
          <w:sz w:val="28"/>
          <w:szCs w:val="28"/>
        </w:rPr>
        <w:t>prioritizes</w:t>
      </w:r>
      <w:r w:rsidRPr="0089657B">
        <w:rPr>
          <w:rFonts w:ascii="Calibri" w:hAnsi="Calibri" w:cs="Calibri"/>
          <w:sz w:val="28"/>
          <w:szCs w:val="28"/>
        </w:rPr>
        <w:t xml:space="preserve"> service quality, accelerating the shift toward digital delivery and operational excellence so citizens can access services efficiently and with dignity. Beyond Bahrain’s borders, it strengthened diplomatic standing and deepened ties across Gulf, Arab, regional and international partners, reinforcing the Kingdom’s profile as a platform for peace, unity and coexistence</w:t>
      </w:r>
      <w:r w:rsidRPr="0089657B">
        <w:rPr>
          <w:rFonts w:ascii="Calibri" w:hAnsi="Calibri" w:cs="Calibri"/>
          <w:sz w:val="28"/>
          <w:szCs w:val="28"/>
          <w:rtl/>
        </w:rPr>
        <w:t>.</w:t>
      </w:r>
    </w:p>
    <w:p w14:paraId="5D9CCDF2" w14:textId="6BAD51B6" w:rsidR="00935FCD" w:rsidRPr="0089657B" w:rsidRDefault="00AE43B1" w:rsidP="00BE6857">
      <w:pPr>
        <w:bidi w:val="0"/>
        <w:jc w:val="both"/>
        <w:rPr>
          <w:rFonts w:ascii="Calibri" w:hAnsi="Calibri" w:cs="Calibri"/>
          <w:sz w:val="28"/>
          <w:szCs w:val="28"/>
        </w:rPr>
      </w:pPr>
      <w:r w:rsidRPr="0089657B">
        <w:rPr>
          <w:rFonts w:ascii="Calibri" w:hAnsi="Calibri" w:cs="Calibri"/>
          <w:sz w:val="28"/>
          <w:szCs w:val="28"/>
        </w:rPr>
        <w:t xml:space="preserve">Economically, the Charter strengthened a modern legislative framework that enhanced competitiveness, </w:t>
      </w:r>
      <w:r w:rsidR="00BE6857" w:rsidRPr="0089657B">
        <w:rPr>
          <w:rFonts w:ascii="Calibri" w:hAnsi="Calibri" w:cs="Calibri"/>
          <w:sz w:val="28"/>
          <w:szCs w:val="28"/>
        </w:rPr>
        <w:t>energized</w:t>
      </w:r>
      <w:r w:rsidRPr="0089657B">
        <w:rPr>
          <w:rFonts w:ascii="Calibri" w:hAnsi="Calibri" w:cs="Calibri"/>
          <w:sz w:val="28"/>
          <w:szCs w:val="28"/>
        </w:rPr>
        <w:t xml:space="preserve"> entrepreneurship among youth and supported higher value jobs within a more inclusive, sustainable economy</w:t>
      </w:r>
      <w:r w:rsidR="00935FCD" w:rsidRPr="0089657B">
        <w:rPr>
          <w:rFonts w:ascii="Calibri" w:hAnsi="Calibri" w:cs="Calibri"/>
          <w:sz w:val="28"/>
          <w:szCs w:val="28"/>
        </w:rPr>
        <w:t>. Socially, it reinforced cohesion, raised living standards and treated comprehensive development as a right that reaches every community, citizen and resident</w:t>
      </w:r>
      <w:r w:rsidR="00BE6857" w:rsidRPr="0089657B">
        <w:rPr>
          <w:rFonts w:ascii="Calibri" w:hAnsi="Calibri" w:cs="Calibri"/>
          <w:sz w:val="28"/>
          <w:szCs w:val="28"/>
        </w:rPr>
        <w:t>.</w:t>
      </w:r>
    </w:p>
    <w:p w14:paraId="39152F33" w14:textId="6037C02C" w:rsidR="00EB5EA2" w:rsidRPr="003B4DC5" w:rsidRDefault="00BE6857" w:rsidP="00BE6857">
      <w:pPr>
        <w:bidi w:val="0"/>
        <w:jc w:val="both"/>
        <w:rPr>
          <w:rFonts w:ascii="Calibri" w:hAnsi="Calibri" w:cs="Calibri"/>
          <w:sz w:val="28"/>
          <w:szCs w:val="28"/>
        </w:rPr>
      </w:pPr>
      <w:r w:rsidRPr="0089657B">
        <w:rPr>
          <w:rFonts w:ascii="Calibri" w:hAnsi="Calibri" w:cs="Calibri"/>
          <w:sz w:val="28"/>
          <w:szCs w:val="28"/>
        </w:rPr>
        <w:t>As the Charter enters a new chapter, its project remains ongoing. It laid the foundation; the task now is to build on it with unity and steady purpose, keeping its spirit alive in the pursuit of excellence and innovation across sectors. This anniversary is both a marker of continuity and a compass for a more prosperous future for coming generations.</w:t>
      </w:r>
    </w:p>
    <w:sectPr w:rsidR="00EB5EA2" w:rsidRPr="003B4DC5" w:rsidSect="00EB5EA2">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4DC5"/>
    <w:rsid w:val="00010E14"/>
    <w:rsid w:val="003B4DC5"/>
    <w:rsid w:val="0089657B"/>
    <w:rsid w:val="008A6A5F"/>
    <w:rsid w:val="00923AAB"/>
    <w:rsid w:val="00935FCD"/>
    <w:rsid w:val="00AE43B1"/>
    <w:rsid w:val="00BE6857"/>
    <w:rsid w:val="00EB5EA2"/>
    <w:rsid w:val="00ED48D7"/>
    <w:rsid w:val="00F42BE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D84675"/>
  <w15:chartTrackingRefBased/>
  <w15:docId w15:val="{A5ADC88C-D261-4512-8287-ACBB827F7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next w:val="Normal"/>
    <w:link w:val="Heading1Char"/>
    <w:uiPriority w:val="9"/>
    <w:qFormat/>
    <w:rsid w:val="003B4DC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4DC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4DC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4DC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4DC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4DC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4DC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4DC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4DC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4DC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4DC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4DC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4DC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4DC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4DC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4DC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4DC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4DC5"/>
    <w:rPr>
      <w:rFonts w:eastAsiaTheme="majorEastAsia" w:cstheme="majorBidi"/>
      <w:color w:val="272727" w:themeColor="text1" w:themeTint="D8"/>
    </w:rPr>
  </w:style>
  <w:style w:type="paragraph" w:styleId="Title">
    <w:name w:val="Title"/>
    <w:basedOn w:val="Normal"/>
    <w:next w:val="Normal"/>
    <w:link w:val="TitleChar"/>
    <w:uiPriority w:val="10"/>
    <w:qFormat/>
    <w:rsid w:val="003B4DC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4DC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4DC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4DC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4DC5"/>
    <w:pPr>
      <w:spacing w:before="160"/>
      <w:jc w:val="center"/>
    </w:pPr>
    <w:rPr>
      <w:i/>
      <w:iCs/>
      <w:color w:val="404040" w:themeColor="text1" w:themeTint="BF"/>
    </w:rPr>
  </w:style>
  <w:style w:type="character" w:customStyle="1" w:styleId="QuoteChar">
    <w:name w:val="Quote Char"/>
    <w:basedOn w:val="DefaultParagraphFont"/>
    <w:link w:val="Quote"/>
    <w:uiPriority w:val="29"/>
    <w:rsid w:val="003B4DC5"/>
    <w:rPr>
      <w:i/>
      <w:iCs/>
      <w:color w:val="404040" w:themeColor="text1" w:themeTint="BF"/>
    </w:rPr>
  </w:style>
  <w:style w:type="paragraph" w:styleId="ListParagraph">
    <w:name w:val="List Paragraph"/>
    <w:basedOn w:val="Normal"/>
    <w:uiPriority w:val="34"/>
    <w:qFormat/>
    <w:rsid w:val="003B4DC5"/>
    <w:pPr>
      <w:ind w:left="720"/>
      <w:contextualSpacing/>
    </w:pPr>
  </w:style>
  <w:style w:type="character" w:styleId="IntenseEmphasis">
    <w:name w:val="Intense Emphasis"/>
    <w:basedOn w:val="DefaultParagraphFont"/>
    <w:uiPriority w:val="21"/>
    <w:qFormat/>
    <w:rsid w:val="003B4DC5"/>
    <w:rPr>
      <w:i/>
      <w:iCs/>
      <w:color w:val="0F4761" w:themeColor="accent1" w:themeShade="BF"/>
    </w:rPr>
  </w:style>
  <w:style w:type="paragraph" w:styleId="IntenseQuote">
    <w:name w:val="Intense Quote"/>
    <w:basedOn w:val="Normal"/>
    <w:next w:val="Normal"/>
    <w:link w:val="IntenseQuoteChar"/>
    <w:uiPriority w:val="30"/>
    <w:qFormat/>
    <w:rsid w:val="003B4DC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4DC5"/>
    <w:rPr>
      <w:i/>
      <w:iCs/>
      <w:color w:val="0F4761" w:themeColor="accent1" w:themeShade="BF"/>
    </w:rPr>
  </w:style>
  <w:style w:type="character" w:styleId="IntenseReference">
    <w:name w:val="Intense Reference"/>
    <w:basedOn w:val="DefaultParagraphFont"/>
    <w:uiPriority w:val="32"/>
    <w:qFormat/>
    <w:rsid w:val="003B4DC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TotalTime>
  <Pages>2</Pages>
  <Words>626</Words>
  <Characters>3573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5</cp:revision>
  <dcterms:created xsi:type="dcterms:W3CDTF">2026-02-20T19:41:00Z</dcterms:created>
  <dcterms:modified xsi:type="dcterms:W3CDTF">2026-02-20T21:25:00Z</dcterms:modified>
</cp:coreProperties>
</file>