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FA9AF5" w14:textId="77777777" w:rsidR="00553B5E" w:rsidRDefault="00553B5E" w:rsidP="00553B5E">
      <w:pPr>
        <w:shd w:val="clear" w:color="auto" w:fill="FFFFFF"/>
        <w:spacing w:before="240" w:line="233" w:lineRule="atLeast"/>
        <w:jc w:val="both"/>
        <w:rPr>
          <w:b/>
          <w:color w:val="222222"/>
          <w:kern w:val="0"/>
          <w:sz w:val="34"/>
          <w:szCs w:val="34"/>
          <w:lang w:val="en-GB"/>
          <w14:ligatures w14:val="none"/>
        </w:rPr>
      </w:pPr>
      <w:r w:rsidRPr="00553B5E">
        <w:rPr>
          <w:b/>
          <w:color w:val="222222"/>
          <w:kern w:val="0"/>
          <w:sz w:val="34"/>
          <w:szCs w:val="34"/>
          <w:lang w:val="en-GB"/>
          <w14:ligatures w14:val="none"/>
        </w:rPr>
        <w:t>Open the tunnel</w:t>
      </w:r>
      <w:r>
        <w:rPr>
          <w:b/>
          <w:color w:val="222222"/>
          <w:kern w:val="0"/>
          <w:sz w:val="34"/>
          <w:szCs w:val="34"/>
          <w:lang w:val="en-GB"/>
          <w14:ligatures w14:val="none"/>
        </w:rPr>
        <w:t>!</w:t>
      </w:r>
    </w:p>
    <w:p w14:paraId="015A10FA" w14:textId="16E2C70A" w:rsidR="00972903" w:rsidRPr="00553B5E" w:rsidRDefault="00972903" w:rsidP="00553B5E">
      <w:pPr>
        <w:shd w:val="clear" w:color="auto" w:fill="FFFFFF"/>
        <w:spacing w:before="240" w:line="233" w:lineRule="atLeast"/>
        <w:jc w:val="both"/>
        <w:rPr>
          <w:b/>
          <w:color w:val="222222"/>
          <w:kern w:val="0"/>
          <w:sz w:val="34"/>
          <w:szCs w:val="34"/>
          <w:lang w:val="en-GB"/>
          <w14:ligatures w14:val="none"/>
        </w:rPr>
      </w:pPr>
      <w:r w:rsidRPr="00A16DB9">
        <w:rPr>
          <w:color w:val="222222"/>
          <w:kern w:val="0"/>
          <w:sz w:val="34"/>
          <w:szCs w:val="34"/>
          <w:lang w:val="en-GB"/>
          <w14:ligatures w14:val="none"/>
        </w:rPr>
        <w:t>Akram Miknas</w:t>
      </w:r>
    </w:p>
    <w:p w14:paraId="7749E922" w14:textId="77777777" w:rsidR="00972903" w:rsidRPr="00A16DB9" w:rsidRDefault="00972903" w:rsidP="00972903">
      <w:pPr>
        <w:shd w:val="clear" w:color="auto" w:fill="FFFFFF"/>
        <w:spacing w:before="240" w:line="233" w:lineRule="atLeast"/>
        <w:jc w:val="both"/>
        <w:rPr>
          <w:color w:val="222222"/>
          <w:kern w:val="0"/>
          <w:sz w:val="34"/>
          <w:szCs w:val="34"/>
          <w:lang w:val="en-GB"/>
          <w14:ligatures w14:val="none"/>
        </w:rPr>
      </w:pPr>
      <w:r w:rsidRPr="00A16DB9">
        <w:rPr>
          <w:color w:val="222222"/>
          <w:kern w:val="0"/>
          <w:sz w:val="34"/>
          <w:szCs w:val="34"/>
          <w:lang w:val="en-GB"/>
          <w14:ligatures w14:val="none"/>
        </w:rPr>
        <w:t>Money is often considered the lifeblood of economy and its scarcity can impede the flow of goods and services. This is where central banks around the world play a crucial role, acting as doctors who strive to maintain a balanced flow of money into the economy. However, the Federal Reserve, as the primary driver of global monetary policy, has faced significant challenges since the outbreak of the COVID-19 pandemic.</w:t>
      </w:r>
    </w:p>
    <w:p w14:paraId="6981C4E5" w14:textId="77777777" w:rsidR="00972903" w:rsidRDefault="00972903" w:rsidP="00972903">
      <w:pPr>
        <w:shd w:val="clear" w:color="auto" w:fill="FFFFFF"/>
        <w:spacing w:before="240" w:line="233" w:lineRule="atLeast"/>
        <w:jc w:val="both"/>
        <w:rPr>
          <w:color w:val="222222"/>
          <w:kern w:val="0"/>
          <w:sz w:val="34"/>
          <w:szCs w:val="34"/>
          <w:lang w:val="en-GB"/>
          <w14:ligatures w14:val="none"/>
        </w:rPr>
      </w:pPr>
      <w:r w:rsidRPr="00A16DB9">
        <w:rPr>
          <w:color w:val="222222"/>
          <w:kern w:val="0"/>
          <w:sz w:val="34"/>
          <w:szCs w:val="34"/>
          <w:lang w:val="en-GB"/>
          <w14:ligatures w14:val="none"/>
        </w:rPr>
        <w:t>The quantitative easing policy pursued by the Federal Reserve has resulted in unprecedented levels of inflation in many countries around the world. Attempts to counteract this trend by modifying policy to reduce inflation and withdraw surplus funds from the market have had a disruptive impact on the global economy. Bahrain, which is deeply integrated into the global economy and has its currency pegged to the US dollar, has not been immune to these challenges</w:t>
      </w:r>
      <w:r>
        <w:rPr>
          <w:color w:val="222222"/>
          <w:kern w:val="0"/>
          <w:sz w:val="34"/>
          <w:szCs w:val="34"/>
          <w:lang w:val="en-GB"/>
          <w14:ligatures w14:val="none"/>
        </w:rPr>
        <w:t xml:space="preserve"> nor </w:t>
      </w:r>
      <w:r w:rsidRPr="00A16DB9">
        <w:rPr>
          <w:color w:val="222222"/>
          <w:kern w:val="0"/>
          <w:sz w:val="34"/>
          <w:szCs w:val="34"/>
          <w:lang w:val="en-GB"/>
          <w14:ligatures w14:val="none"/>
        </w:rPr>
        <w:t xml:space="preserve">to global economic developments. </w:t>
      </w:r>
    </w:p>
    <w:p w14:paraId="326B8133" w14:textId="77777777" w:rsidR="00972903" w:rsidRPr="00A16DB9" w:rsidRDefault="00972903" w:rsidP="00972903">
      <w:pPr>
        <w:shd w:val="clear" w:color="auto" w:fill="FFFFFF"/>
        <w:spacing w:before="240" w:line="233" w:lineRule="atLeast"/>
        <w:jc w:val="both"/>
        <w:rPr>
          <w:color w:val="222222"/>
          <w:kern w:val="0"/>
          <w:sz w:val="34"/>
          <w:szCs w:val="34"/>
          <w:lang w:val="en-GB"/>
          <w14:ligatures w14:val="none"/>
        </w:rPr>
      </w:pPr>
      <w:r>
        <w:rPr>
          <w:color w:val="222222"/>
          <w:kern w:val="0"/>
          <w:sz w:val="34"/>
          <w:szCs w:val="34"/>
          <w:lang w:val="en-GB"/>
          <w14:ligatures w14:val="none"/>
        </w:rPr>
        <w:t>Although</w:t>
      </w:r>
      <w:r w:rsidRPr="00A16DB9">
        <w:rPr>
          <w:color w:val="222222"/>
          <w:kern w:val="0"/>
          <w:sz w:val="34"/>
          <w:szCs w:val="34"/>
          <w:lang w:val="en-GB"/>
          <w14:ligatures w14:val="none"/>
        </w:rPr>
        <w:t xml:space="preserve"> inflation rates have remained relatively stable</w:t>
      </w:r>
      <w:r>
        <w:rPr>
          <w:color w:val="222222"/>
          <w:kern w:val="0"/>
          <w:sz w:val="34"/>
          <w:szCs w:val="34"/>
          <w:lang w:val="en-GB"/>
          <w14:ligatures w14:val="none"/>
        </w:rPr>
        <w:t>,</w:t>
      </w:r>
      <w:r w:rsidRPr="00A16DB9">
        <w:rPr>
          <w:color w:val="222222"/>
          <w:kern w:val="0"/>
          <w:sz w:val="34"/>
          <w:szCs w:val="34"/>
          <w:lang w:val="en-GB"/>
          <w14:ligatures w14:val="none"/>
        </w:rPr>
        <w:t xml:space="preserve"> compared to other countries, the levels of liquidity in the market have been negatively affected by several factors. These include a decline in government spending as part of efforts to achieve financial balance, a significant increase in Bahrain's public debt, which now stands at nearly 17 billion dinars, and the interest payments on this debt, which amounted to over 700 million dinars last year alone. In addition, the country has had to borrow at high interest rates to meet its growing financial needs.</w:t>
      </w:r>
    </w:p>
    <w:p w14:paraId="61484C9B" w14:textId="77777777" w:rsidR="00972903" w:rsidRPr="00A16DB9" w:rsidRDefault="00972903" w:rsidP="00972903">
      <w:pPr>
        <w:shd w:val="clear" w:color="auto" w:fill="FFFFFF"/>
        <w:spacing w:before="240" w:line="233" w:lineRule="atLeast"/>
        <w:jc w:val="both"/>
        <w:rPr>
          <w:color w:val="222222"/>
          <w:kern w:val="0"/>
          <w:sz w:val="34"/>
          <w:szCs w:val="34"/>
          <w:lang w:val="en-GB"/>
          <w14:ligatures w14:val="none"/>
        </w:rPr>
      </w:pPr>
      <w:r w:rsidRPr="00A16DB9">
        <w:rPr>
          <w:color w:val="222222"/>
          <w:kern w:val="0"/>
          <w:sz w:val="34"/>
          <w:szCs w:val="34"/>
          <w:lang w:val="en-GB"/>
          <w14:ligatures w14:val="none"/>
        </w:rPr>
        <w:lastRenderedPageBreak/>
        <w:t xml:space="preserve">When a government seeks to achieve fiscal balance and rationalize spending, the private sector and banks </w:t>
      </w:r>
      <w:proofErr w:type="gramStart"/>
      <w:r w:rsidRPr="00A16DB9">
        <w:rPr>
          <w:color w:val="222222"/>
          <w:kern w:val="0"/>
          <w:sz w:val="34"/>
          <w:szCs w:val="34"/>
          <w:lang w:val="en-GB"/>
          <w14:ligatures w14:val="none"/>
        </w:rPr>
        <w:t>in particular can</w:t>
      </w:r>
      <w:proofErr w:type="gramEnd"/>
      <w:r w:rsidRPr="00A16DB9">
        <w:rPr>
          <w:color w:val="222222"/>
          <w:kern w:val="0"/>
          <w:sz w:val="34"/>
          <w:szCs w:val="34"/>
          <w:lang w:val="en-GB"/>
          <w14:ligatures w14:val="none"/>
        </w:rPr>
        <w:t xml:space="preserve"> step in to inject sufficient funds into the market. However, Bahraini banks, despite having high levels of liquidity, are generally strict in their lending practices and charge high interest rates. This is a trend that is reflected in banks throughout the region and the world.</w:t>
      </w:r>
    </w:p>
    <w:p w14:paraId="2DAFB04D" w14:textId="77777777" w:rsidR="00972903" w:rsidRPr="00A16DB9" w:rsidRDefault="00972903" w:rsidP="00972903">
      <w:pPr>
        <w:shd w:val="clear" w:color="auto" w:fill="FFFFFF"/>
        <w:spacing w:before="240" w:line="233" w:lineRule="atLeast"/>
        <w:jc w:val="both"/>
        <w:rPr>
          <w:color w:val="222222"/>
          <w:kern w:val="0"/>
          <w:sz w:val="34"/>
          <w:szCs w:val="34"/>
          <w:lang w:val="en-GB"/>
          <w14:ligatures w14:val="none"/>
        </w:rPr>
      </w:pPr>
      <w:r w:rsidRPr="00A16DB9">
        <w:rPr>
          <w:color w:val="222222"/>
          <w:kern w:val="0"/>
          <w:sz w:val="34"/>
          <w:szCs w:val="34"/>
          <w:lang w:val="en-GB"/>
          <w14:ligatures w14:val="none"/>
        </w:rPr>
        <w:t>The liquidity pipeline in Bahrain appears to be partially blocked, particularly in these times of economic difficulty. As an example, many contractors are struggling and may be forced to declare bankruptcy and exit the market entirely due to project owners failing to pay their dues. Disputes between contractors and project owners have become increasingly common in the Bahraini market.</w:t>
      </w:r>
    </w:p>
    <w:p w14:paraId="480B3338" w14:textId="77777777" w:rsidR="00972903" w:rsidRPr="00A16DB9" w:rsidRDefault="00972903" w:rsidP="00972903">
      <w:pPr>
        <w:shd w:val="clear" w:color="auto" w:fill="FFFFFF"/>
        <w:spacing w:before="240" w:line="233" w:lineRule="atLeast"/>
        <w:jc w:val="both"/>
        <w:rPr>
          <w:color w:val="222222"/>
          <w:kern w:val="0"/>
          <w:sz w:val="34"/>
          <w:szCs w:val="34"/>
          <w:lang w:val="en-GB"/>
          <w14:ligatures w14:val="none"/>
        </w:rPr>
      </w:pPr>
      <w:r w:rsidRPr="00A16DB9">
        <w:rPr>
          <w:color w:val="222222"/>
          <w:kern w:val="0"/>
          <w:sz w:val="34"/>
          <w:szCs w:val="34"/>
          <w:lang w:val="en-GB"/>
          <w14:ligatures w14:val="none"/>
        </w:rPr>
        <w:t>Considering these challenges, it is advisable for individuals and businesses not to start any project unless they have sufficient funding from their own resources or at least 80 to 90 percent of the liquidity needed to implement the project. It is not wise to rely heavily on borrowing or to assume that the financial dues of the project can be paid from the money generated by its sale. In these difficult times, it is important to exercise caution and avoid taking unnecessary risks.</w:t>
      </w:r>
    </w:p>
    <w:p w14:paraId="70B8BC7D" w14:textId="77777777" w:rsidR="00972903" w:rsidRPr="00A16DB9" w:rsidRDefault="00972903" w:rsidP="00972903">
      <w:pPr>
        <w:shd w:val="clear" w:color="auto" w:fill="FFFFFF"/>
        <w:spacing w:before="240" w:line="233" w:lineRule="atLeast"/>
        <w:jc w:val="both"/>
        <w:rPr>
          <w:color w:val="222222"/>
          <w:kern w:val="0"/>
          <w:sz w:val="34"/>
          <w:szCs w:val="34"/>
          <w:lang w:val="en-GB"/>
          <w14:ligatures w14:val="none"/>
        </w:rPr>
      </w:pPr>
      <w:r w:rsidRPr="00A16DB9">
        <w:rPr>
          <w:color w:val="222222"/>
          <w:kern w:val="0"/>
          <w:sz w:val="34"/>
          <w:szCs w:val="34"/>
          <w:lang w:val="en-GB"/>
          <w14:ligatures w14:val="none"/>
        </w:rPr>
        <w:t>The Gulf state economies primarily rel</w:t>
      </w:r>
      <w:r>
        <w:rPr>
          <w:color w:val="222222"/>
          <w:kern w:val="0"/>
          <w:sz w:val="34"/>
          <w:szCs w:val="34"/>
          <w:lang w:val="en-GB"/>
          <w14:ligatures w14:val="none"/>
        </w:rPr>
        <w:t>y</w:t>
      </w:r>
      <w:r w:rsidRPr="00A16DB9">
        <w:rPr>
          <w:color w:val="222222"/>
          <w:kern w:val="0"/>
          <w:sz w:val="34"/>
          <w:szCs w:val="34"/>
          <w:lang w:val="en-GB"/>
          <w14:ligatures w14:val="none"/>
        </w:rPr>
        <w:t xml:space="preserve"> on the sale of oil by </w:t>
      </w:r>
      <w:r>
        <w:rPr>
          <w:color w:val="222222"/>
          <w:kern w:val="0"/>
          <w:sz w:val="34"/>
          <w:szCs w:val="34"/>
          <w:lang w:val="en-GB"/>
          <w14:ligatures w14:val="none"/>
        </w:rPr>
        <w:t xml:space="preserve">their </w:t>
      </w:r>
      <w:r w:rsidRPr="00A16DB9">
        <w:rPr>
          <w:color w:val="222222"/>
          <w:kern w:val="0"/>
          <w:sz w:val="34"/>
          <w:szCs w:val="34"/>
          <w:lang w:val="en-GB"/>
          <w14:ligatures w14:val="none"/>
        </w:rPr>
        <w:t>governments</w:t>
      </w:r>
      <w:r>
        <w:rPr>
          <w:color w:val="222222"/>
          <w:kern w:val="0"/>
          <w:sz w:val="34"/>
          <w:szCs w:val="34"/>
          <w:lang w:val="en-GB"/>
          <w14:ligatures w14:val="none"/>
        </w:rPr>
        <w:t>.</w:t>
      </w:r>
      <w:r w:rsidRPr="00A16DB9">
        <w:rPr>
          <w:color w:val="222222"/>
          <w:kern w:val="0"/>
          <w:sz w:val="34"/>
          <w:szCs w:val="34"/>
          <w:lang w:val="en-GB"/>
          <w14:ligatures w14:val="none"/>
        </w:rPr>
        <w:t xml:space="preserve"> </w:t>
      </w:r>
      <w:r>
        <w:rPr>
          <w:color w:val="222222"/>
          <w:kern w:val="0"/>
          <w:sz w:val="34"/>
          <w:szCs w:val="34"/>
          <w:lang w:val="en-GB"/>
          <w14:ligatures w14:val="none"/>
        </w:rPr>
        <w:t>This</w:t>
      </w:r>
      <w:r w:rsidRPr="00A16DB9">
        <w:rPr>
          <w:color w:val="222222"/>
          <w:kern w:val="0"/>
          <w:sz w:val="34"/>
          <w:szCs w:val="34"/>
          <w:lang w:val="en-GB"/>
          <w14:ligatures w14:val="none"/>
        </w:rPr>
        <w:t xml:space="preserve"> in turn injects the resulting money into the economy through two main channels: salaries and projects. The higher the amount of this pumping, the faster the economy moves, and the greater the level of well-being.</w:t>
      </w:r>
    </w:p>
    <w:p w14:paraId="7A23FCBF" w14:textId="77777777" w:rsidR="00972903" w:rsidRPr="00A16DB9" w:rsidRDefault="00972903" w:rsidP="00972903">
      <w:pPr>
        <w:shd w:val="clear" w:color="auto" w:fill="FFFFFF"/>
        <w:spacing w:before="240" w:line="233" w:lineRule="atLeast"/>
        <w:jc w:val="both"/>
        <w:rPr>
          <w:color w:val="222222"/>
          <w:kern w:val="0"/>
          <w:sz w:val="34"/>
          <w:szCs w:val="34"/>
          <w:lang w:val="en-GB"/>
          <w14:ligatures w14:val="none"/>
        </w:rPr>
      </w:pPr>
      <w:r w:rsidRPr="00A16DB9">
        <w:rPr>
          <w:color w:val="222222"/>
          <w:kern w:val="0"/>
          <w:sz w:val="34"/>
          <w:szCs w:val="34"/>
          <w:lang w:val="en-GB"/>
          <w14:ligatures w14:val="none"/>
        </w:rPr>
        <w:t>The employee</w:t>
      </w:r>
      <w:r>
        <w:rPr>
          <w:color w:val="222222"/>
          <w:kern w:val="0"/>
          <w:sz w:val="34"/>
          <w:szCs w:val="34"/>
          <w:lang w:val="en-GB"/>
          <w14:ligatures w14:val="none"/>
        </w:rPr>
        <w:t>s</w:t>
      </w:r>
      <w:r w:rsidRPr="00A16DB9">
        <w:rPr>
          <w:color w:val="222222"/>
          <w:kern w:val="0"/>
          <w:sz w:val="34"/>
          <w:szCs w:val="34"/>
          <w:lang w:val="en-GB"/>
          <w14:ligatures w14:val="none"/>
        </w:rPr>
        <w:t xml:space="preserve"> spend their salary on various things such as food, drink, travel, car and home payments, and their children's education. Business owners in industries such as restaurants, </w:t>
      </w:r>
      <w:r w:rsidRPr="00A16DB9">
        <w:rPr>
          <w:color w:val="222222"/>
          <w:kern w:val="0"/>
          <w:sz w:val="34"/>
          <w:szCs w:val="34"/>
          <w:lang w:val="en-GB"/>
          <w14:ligatures w14:val="none"/>
        </w:rPr>
        <w:lastRenderedPageBreak/>
        <w:t>commercial complexes, travel and tourism offices, schools, and contractors who win government projects may keep a portion of the profits for themselves, but they also employ staff and rent office space, cars, and equipment, thereby contributing to the economy.</w:t>
      </w:r>
    </w:p>
    <w:p w14:paraId="51A4169C" w14:textId="77777777" w:rsidR="00972903" w:rsidRPr="00A16DB9" w:rsidRDefault="00972903" w:rsidP="00972903">
      <w:pPr>
        <w:shd w:val="clear" w:color="auto" w:fill="FFFFFF"/>
        <w:spacing w:before="240" w:line="233" w:lineRule="atLeast"/>
        <w:jc w:val="both"/>
        <w:rPr>
          <w:color w:val="222222"/>
          <w:kern w:val="0"/>
          <w:sz w:val="34"/>
          <w:szCs w:val="34"/>
          <w:lang w:val="en-GB"/>
          <w14:ligatures w14:val="none"/>
        </w:rPr>
      </w:pPr>
      <w:r w:rsidRPr="00A16DB9">
        <w:rPr>
          <w:color w:val="222222"/>
          <w:kern w:val="0"/>
          <w:sz w:val="34"/>
          <w:szCs w:val="34"/>
          <w:lang w:val="en-GB"/>
          <w14:ligatures w14:val="none"/>
        </w:rPr>
        <w:t>It is important for both the government and private sector to find practical solutions to inject more liquidity into Bahrain's economy. This can be done through initiatives such as the "liquidity fund" or other innovative approaches, which will increase the amount of money flowing into the economy and contribute to its health and recovery.</w:t>
      </w:r>
    </w:p>
    <w:p w14:paraId="7DC5B366"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1B58B9"/>
    <w:multiLevelType w:val="hybridMultilevel"/>
    <w:tmpl w:val="4A18FDDA"/>
    <w:lvl w:ilvl="0" w:tplc="0A14266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203229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2903"/>
    <w:rsid w:val="0002437D"/>
    <w:rsid w:val="00553B5E"/>
    <w:rsid w:val="00972903"/>
    <w:rsid w:val="00BA7E51"/>
    <w:rsid w:val="00C80EC2"/>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E1689"/>
  <w15:chartTrackingRefBased/>
  <w15:docId w15:val="{CCC0C2FD-0DC2-9440-B125-460A09362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903"/>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29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579</Words>
  <Characters>3302</Characters>
  <Application>Microsoft Office Word</Application>
  <DocSecurity>0</DocSecurity>
  <Lines>27</Lines>
  <Paragraphs>7</Paragraphs>
  <ScaleCrop>false</ScaleCrop>
  <Company/>
  <LinksUpToDate>false</LinksUpToDate>
  <CharactersWithSpaces>3874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2</cp:revision>
  <dcterms:created xsi:type="dcterms:W3CDTF">2023-05-04T03:25:00Z</dcterms:created>
  <dcterms:modified xsi:type="dcterms:W3CDTF">2023-05-05T23:16:00Z</dcterms:modified>
</cp:coreProperties>
</file>